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615DE" w14:textId="77777777" w:rsidR="00D66134" w:rsidRDefault="00B56B8E">
      <w:pPr>
        <w:tabs>
          <w:tab w:val="left" w:pos="4287"/>
        </w:tabs>
        <w:ind w:left="2366"/>
        <w:rPr>
          <w:rFonts w:ascii="Times New Roman"/>
          <w:position w:val="35"/>
          <w:sz w:val="18"/>
        </w:rPr>
      </w:pPr>
      <w:r>
        <w:rPr>
          <w:rFonts w:ascii="Times New Roman"/>
          <w:noProof/>
          <w:sz w:val="18"/>
          <w:lang w:val="fr-FR" w:eastAsia="fr-FR"/>
        </w:rPr>
        <w:drawing>
          <wp:inline distT="0" distB="0" distL="0" distR="0" wp14:anchorId="02A305A1" wp14:editId="431B9022">
            <wp:extent cx="927243" cy="997457"/>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927243" cy="997457"/>
                    </a:xfrm>
                    <a:prstGeom prst="rect">
                      <a:avLst/>
                    </a:prstGeom>
                  </pic:spPr>
                </pic:pic>
              </a:graphicData>
            </a:graphic>
          </wp:inline>
        </w:drawing>
      </w:r>
      <w:r>
        <w:rPr>
          <w:rFonts w:ascii="Times New Roman"/>
          <w:sz w:val="18"/>
        </w:rPr>
        <w:tab/>
      </w:r>
      <w:r>
        <w:rPr>
          <w:rFonts w:ascii="Times New Roman"/>
          <w:noProof/>
          <w:position w:val="35"/>
          <w:sz w:val="18"/>
          <w:lang w:val="fr-FR" w:eastAsia="fr-FR"/>
        </w:rPr>
        <w:drawing>
          <wp:inline distT="0" distB="0" distL="0" distR="0" wp14:anchorId="13754D5C" wp14:editId="16258735">
            <wp:extent cx="2168868" cy="461009"/>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2168868" cy="461009"/>
                    </a:xfrm>
                    <a:prstGeom prst="rect">
                      <a:avLst/>
                    </a:prstGeom>
                  </pic:spPr>
                </pic:pic>
              </a:graphicData>
            </a:graphic>
          </wp:inline>
        </w:drawing>
      </w:r>
    </w:p>
    <w:p w14:paraId="0D61C962" w14:textId="77777777" w:rsidR="00D66134" w:rsidRDefault="00D66134">
      <w:pPr>
        <w:pStyle w:val="BodyText"/>
        <w:spacing w:before="304"/>
        <w:ind w:left="0"/>
        <w:rPr>
          <w:rFonts w:ascii="Times New Roman"/>
          <w:sz w:val="28"/>
        </w:rPr>
      </w:pPr>
    </w:p>
    <w:p w14:paraId="7B775F02" w14:textId="77777777" w:rsidR="00D66134" w:rsidRDefault="00B56B8E">
      <w:pPr>
        <w:pStyle w:val="Title"/>
        <w:spacing w:line="367" w:lineRule="auto"/>
      </w:pPr>
      <w:r>
        <w:t>Externalisation des frontières Suivi de la politique d'externalisation de l'UE</w:t>
      </w:r>
    </w:p>
    <w:p w14:paraId="2D84C896" w14:textId="77777777" w:rsidR="00D66134" w:rsidRDefault="00B56B8E">
      <w:pPr>
        <w:pStyle w:val="BodyText"/>
        <w:spacing w:line="251" w:lineRule="exact"/>
        <w:ind w:left="637" w:right="639"/>
        <w:jc w:val="center"/>
      </w:pPr>
      <w:r>
        <w:t xml:space="preserve">Bulletin </w:t>
      </w:r>
      <w:r>
        <w:rPr>
          <w:spacing w:val="-10"/>
        </w:rPr>
        <w:t>4</w:t>
      </w:r>
    </w:p>
    <w:p w14:paraId="5A0FFBE1" w14:textId="77777777" w:rsidR="00D66134" w:rsidRDefault="00B56B8E">
      <w:pPr>
        <w:pStyle w:val="BodyText"/>
        <w:spacing w:before="52"/>
        <w:ind w:left="639" w:right="639"/>
        <w:jc w:val="center"/>
      </w:pPr>
      <w:r>
        <w:t xml:space="preserve">25 novembre </w:t>
      </w:r>
      <w:r>
        <w:rPr>
          <w:spacing w:val="-4"/>
        </w:rPr>
        <w:t>2024</w:t>
      </w:r>
    </w:p>
    <w:p w14:paraId="323EDB54" w14:textId="77777777" w:rsidR="00D66134" w:rsidRDefault="00D66134">
      <w:pPr>
        <w:pStyle w:val="BodyText"/>
        <w:ind w:left="0"/>
      </w:pPr>
    </w:p>
    <w:p w14:paraId="3070F145" w14:textId="77777777" w:rsidR="00D66134" w:rsidRDefault="00D66134">
      <w:pPr>
        <w:pStyle w:val="BodyText"/>
        <w:spacing w:before="88"/>
        <w:ind w:left="0"/>
      </w:pPr>
    </w:p>
    <w:p w14:paraId="77E4B00A" w14:textId="2E66D47B" w:rsidR="00D66134" w:rsidRDefault="00AC092E">
      <w:pPr>
        <w:pStyle w:val="BodyText"/>
        <w:spacing w:line="400" w:lineRule="auto"/>
        <w:ind w:left="637" w:right="639"/>
        <w:jc w:val="center"/>
      </w:pPr>
      <w:r>
        <w:t xml:space="preserve">« </w:t>
      </w:r>
      <w:r w:rsidR="00B56B8E">
        <w:t xml:space="preserve">Cette planète est pour tout le monde, les frontières ne sont pour </w:t>
      </w:r>
      <w:r w:rsidR="00B56B8E">
        <w:rPr>
          <w:spacing w:val="-5"/>
        </w:rPr>
        <w:t>personne</w:t>
      </w:r>
      <w:r w:rsidR="00B56B8E">
        <w:t>.</w:t>
      </w:r>
      <w:r>
        <w:t xml:space="preserve"> C'est une question de liberté.</w:t>
      </w:r>
      <w:r w:rsidRPr="00AC092E">
        <w:rPr>
          <w:lang w:val="fr-FR"/>
        </w:rPr>
        <w:t xml:space="preserve"> </w:t>
      </w:r>
      <w:r>
        <w:rPr>
          <w:lang w:val="fr-FR"/>
        </w:rPr>
        <w:t>»</w:t>
      </w:r>
      <w:r w:rsidR="00B56B8E">
        <w:t xml:space="preserve"> Benjamin Zephaniah</w:t>
      </w:r>
    </w:p>
    <w:p w14:paraId="1B4276E2" w14:textId="77777777" w:rsidR="00D66134" w:rsidRDefault="00B56B8E">
      <w:pPr>
        <w:spacing w:before="1"/>
        <w:ind w:left="140"/>
        <w:rPr>
          <w:b/>
          <w:sz w:val="25"/>
        </w:rPr>
      </w:pPr>
      <w:r>
        <w:rPr>
          <w:b/>
          <w:spacing w:val="-2"/>
          <w:sz w:val="25"/>
        </w:rPr>
        <w:t>Contenu</w:t>
      </w:r>
    </w:p>
    <w:sdt>
      <w:sdtPr>
        <w:id w:val="295564326"/>
        <w:docPartObj>
          <w:docPartGallery w:val="Table of Contents"/>
          <w:docPartUnique/>
        </w:docPartObj>
      </w:sdtPr>
      <w:sdtEndPr/>
      <w:sdtContent>
        <w:p w14:paraId="5FD76A55" w14:textId="77777777" w:rsidR="00D66134" w:rsidRDefault="00B56B8E">
          <w:pPr>
            <w:pStyle w:val="TOC1"/>
            <w:tabs>
              <w:tab w:val="right" w:leader="dot" w:pos="9203"/>
            </w:tabs>
            <w:spacing w:before="186"/>
            <w:ind w:left="140"/>
          </w:pPr>
          <w:r>
            <w:fldChar w:fldCharType="begin"/>
          </w:r>
          <w:r>
            <w:instrText xml:space="preserve">TOC \o "1-2" \h \z \u </w:instrText>
          </w:r>
          <w:r>
            <w:fldChar w:fldCharType="separate"/>
          </w:r>
          <w:hyperlink w:anchor="_bookmark0" w:history="1">
            <w:r>
              <w:t xml:space="preserve">Éditorial : Politique, euphémismes et </w:t>
            </w:r>
            <w:r>
              <w:rPr>
                <w:spacing w:val="-2"/>
              </w:rPr>
              <w:t>secret</w:t>
            </w:r>
            <w:r>
              <w:tab/>
            </w:r>
            <w:r>
              <w:rPr>
                <w:spacing w:val="-10"/>
              </w:rPr>
              <w:t>2</w:t>
            </w:r>
          </w:hyperlink>
        </w:p>
        <w:p w14:paraId="66171B7D" w14:textId="77777777" w:rsidR="00D66134" w:rsidRDefault="00B56B8E">
          <w:pPr>
            <w:pStyle w:val="TOC1"/>
            <w:tabs>
              <w:tab w:val="right" w:leader="dot" w:pos="9203"/>
            </w:tabs>
          </w:pPr>
          <w:hyperlink w:anchor="_bookmark1" w:history="1">
            <w:r>
              <w:rPr>
                <w:spacing w:val="-2"/>
              </w:rPr>
              <w:t xml:space="preserve">Développements </w:t>
            </w:r>
            <w:r>
              <w:t>thématiques et régionaux</w:t>
            </w:r>
            <w:r>
              <w:tab/>
            </w:r>
            <w:r>
              <w:rPr>
                <w:spacing w:val="-10"/>
              </w:rPr>
              <w:t>4</w:t>
            </w:r>
          </w:hyperlink>
        </w:p>
        <w:p w14:paraId="1F8677BC" w14:textId="77777777" w:rsidR="00D66134" w:rsidRDefault="00B56B8E">
          <w:pPr>
            <w:pStyle w:val="TOC2"/>
            <w:tabs>
              <w:tab w:val="right" w:leader="dot" w:pos="9203"/>
            </w:tabs>
          </w:pPr>
          <w:hyperlink w:anchor="_bookmark2" w:history="1">
            <w:r>
              <w:rPr>
                <w:spacing w:val="-2"/>
              </w:rPr>
              <w:t xml:space="preserve">Gestion des </w:t>
            </w:r>
            <w:r>
              <w:t>frontières</w:t>
            </w:r>
            <w:r>
              <w:tab/>
            </w:r>
            <w:r>
              <w:rPr>
                <w:spacing w:val="-10"/>
              </w:rPr>
              <w:t>4</w:t>
            </w:r>
          </w:hyperlink>
        </w:p>
        <w:p w14:paraId="04AC1B4D" w14:textId="77777777" w:rsidR="00D66134" w:rsidRDefault="00B56B8E">
          <w:pPr>
            <w:pStyle w:val="TOC2"/>
            <w:tabs>
              <w:tab w:val="right" w:leader="dot" w:pos="9203"/>
            </w:tabs>
          </w:pPr>
          <w:hyperlink w:anchor="_bookmark3" w:history="1">
            <w:r>
              <w:t xml:space="preserve">Budgets et </w:t>
            </w:r>
            <w:r>
              <w:rPr>
                <w:spacing w:val="-2"/>
              </w:rPr>
              <w:t>financement</w:t>
            </w:r>
            <w:r>
              <w:tab/>
            </w:r>
            <w:r>
              <w:rPr>
                <w:spacing w:val="-10"/>
              </w:rPr>
              <w:t>6</w:t>
            </w:r>
          </w:hyperlink>
        </w:p>
        <w:p w14:paraId="59A00EB2" w14:textId="77777777" w:rsidR="00D66134" w:rsidRDefault="00B56B8E">
          <w:pPr>
            <w:pStyle w:val="TOC2"/>
            <w:tabs>
              <w:tab w:val="right" w:leader="dot" w:pos="9203"/>
            </w:tabs>
            <w:spacing w:before="109"/>
          </w:pPr>
          <w:hyperlink w:anchor="_bookmark4" w:history="1">
            <w:r>
              <w:t xml:space="preserve">Expulsion et </w:t>
            </w:r>
            <w:r>
              <w:rPr>
                <w:spacing w:val="-2"/>
              </w:rPr>
              <w:t>réadmission</w:t>
            </w:r>
            <w:r>
              <w:tab/>
            </w:r>
            <w:r>
              <w:rPr>
                <w:spacing w:val="-10"/>
              </w:rPr>
              <w:t>8</w:t>
            </w:r>
          </w:hyperlink>
        </w:p>
        <w:p w14:paraId="6C60A591" w14:textId="77777777" w:rsidR="00D66134" w:rsidRDefault="00B56B8E">
          <w:pPr>
            <w:pStyle w:val="TOC2"/>
            <w:tabs>
              <w:tab w:val="right" w:leader="dot" w:pos="9203"/>
            </w:tabs>
          </w:pPr>
          <w:hyperlink w:anchor="_bookmark5" w:history="1">
            <w:r>
              <w:rPr>
                <w:spacing w:val="-2"/>
              </w:rPr>
              <w:t xml:space="preserve">Partenariats </w:t>
            </w:r>
            <w:r>
              <w:t>migratoires</w:t>
            </w:r>
            <w:r>
              <w:tab/>
            </w:r>
            <w:r>
              <w:rPr>
                <w:spacing w:val="-12"/>
              </w:rPr>
              <w:t>9</w:t>
            </w:r>
          </w:hyperlink>
        </w:p>
        <w:p w14:paraId="52BCA2E3" w14:textId="77777777" w:rsidR="00D66134" w:rsidRDefault="00B56B8E">
          <w:pPr>
            <w:pStyle w:val="TOC2"/>
            <w:tabs>
              <w:tab w:val="right" w:leader="dot" w:pos="9213"/>
            </w:tabs>
          </w:pPr>
          <w:hyperlink w:anchor="_bookmark6" w:history="1">
            <w:r>
              <w:rPr>
                <w:spacing w:val="-2"/>
              </w:rPr>
              <w:t>Autres</w:t>
            </w:r>
            <w:r>
              <w:tab/>
            </w:r>
            <w:r>
              <w:rPr>
                <w:spacing w:val="-5"/>
              </w:rPr>
              <w:t>10</w:t>
            </w:r>
          </w:hyperlink>
        </w:p>
        <w:p w14:paraId="29C1B801" w14:textId="77777777" w:rsidR="00D66134" w:rsidRDefault="00B56B8E">
          <w:pPr>
            <w:pStyle w:val="TOC1"/>
            <w:tabs>
              <w:tab w:val="right" w:leader="dot" w:pos="9205"/>
            </w:tabs>
          </w:pPr>
          <w:hyperlink w:anchor="_bookmark7" w:history="1">
            <w:r>
              <w:t xml:space="preserve">Le rôle croissant de Frontex dans la politique de réintégration et ses effets en </w:t>
            </w:r>
            <w:r>
              <w:rPr>
                <w:spacing w:val="-2"/>
              </w:rPr>
              <w:t xml:space="preserve">Afrique de </w:t>
            </w:r>
            <w:r>
              <w:t>l'Ouest</w:t>
            </w:r>
            <w:r>
              <w:tab/>
            </w:r>
            <w:r>
              <w:rPr>
                <w:spacing w:val="-5"/>
              </w:rPr>
              <w:t>12</w:t>
            </w:r>
          </w:hyperlink>
        </w:p>
        <w:p w14:paraId="07BCDA87" w14:textId="5F071B24" w:rsidR="00D66134" w:rsidRDefault="00AC092E">
          <w:pPr>
            <w:pStyle w:val="TOC1"/>
            <w:tabs>
              <w:tab w:val="right" w:leader="dot" w:pos="9204"/>
            </w:tabs>
            <w:spacing w:before="109"/>
          </w:pPr>
          <w:hyperlink w:anchor="_bookmark8" w:history="1">
            <w:r>
              <w:t>Expulsions : quand l'«affirmation de soi</w:t>
            </w:r>
            <w:r>
              <w:rPr>
                <w:lang w:val="fr-FR"/>
              </w:rPr>
              <w:t>»</w:t>
            </w:r>
            <w:r>
              <w:t xml:space="preserve"> et l'« efficacité</w:t>
            </w:r>
            <w:r>
              <w:rPr>
                <w:lang w:val="fr-FR"/>
              </w:rPr>
              <w:t>»</w:t>
            </w:r>
            <w:r w:rsidR="00B56B8E">
              <w:t xml:space="preserve"> sont synonymes de violence et d'</w:t>
            </w:r>
            <w:r w:rsidR="00B56B8E">
              <w:rPr>
                <w:spacing w:val="-2"/>
              </w:rPr>
              <w:t>abus</w:t>
            </w:r>
            <w:r w:rsidR="00B56B8E">
              <w:tab/>
            </w:r>
            <w:r w:rsidR="00B56B8E">
              <w:rPr>
                <w:spacing w:val="-5"/>
              </w:rPr>
              <w:t>17</w:t>
            </w:r>
          </w:hyperlink>
        </w:p>
        <w:p w14:paraId="7318308D" w14:textId="77777777" w:rsidR="00D66134" w:rsidRDefault="00B56B8E">
          <w:pPr>
            <w:pStyle w:val="TOC1"/>
            <w:tabs>
              <w:tab w:val="right" w:leader="dot" w:pos="9212"/>
            </w:tabs>
          </w:pPr>
          <w:hyperlink w:anchor="_bookmark9" w:history="1">
            <w:r>
              <w:t xml:space="preserve">A propos de ce </w:t>
            </w:r>
            <w:r>
              <w:rPr>
                <w:spacing w:val="-2"/>
              </w:rPr>
              <w:t>bulletin</w:t>
            </w:r>
            <w:r>
              <w:tab/>
            </w:r>
            <w:r>
              <w:rPr>
                <w:spacing w:val="-7"/>
              </w:rPr>
              <w:t>20</w:t>
            </w:r>
          </w:hyperlink>
        </w:p>
        <w:p w14:paraId="020B8451" w14:textId="77777777" w:rsidR="00D66134" w:rsidRDefault="00B56B8E">
          <w:r>
            <w:fldChar w:fldCharType="end"/>
          </w:r>
        </w:p>
      </w:sdtContent>
    </w:sdt>
    <w:p w14:paraId="0EDFCAE8" w14:textId="77777777" w:rsidR="00D66134" w:rsidRDefault="00D66134">
      <w:pPr>
        <w:sectPr w:rsidR="00D66134">
          <w:footerReference w:type="default" r:id="rId9"/>
          <w:type w:val="continuous"/>
          <w:pgSz w:w="11910" w:h="16840"/>
          <w:pgMar w:top="1400" w:right="1275" w:bottom="1960" w:left="1275" w:header="0" w:footer="1766" w:gutter="0"/>
          <w:pgNumType w:start="1"/>
          <w:cols w:space="720"/>
        </w:sectPr>
      </w:pPr>
    </w:p>
    <w:p w14:paraId="3A77D198" w14:textId="77777777" w:rsidR="00D66134" w:rsidRDefault="00B56B8E">
      <w:pPr>
        <w:pStyle w:val="Heading1"/>
        <w:spacing w:before="79"/>
      </w:pPr>
      <w:bookmarkStart w:id="0" w:name="Editorial:_Politics,_euphemisms,_and_sec"/>
      <w:bookmarkStart w:id="1" w:name="_bookmark0"/>
      <w:bookmarkEnd w:id="0"/>
      <w:bookmarkEnd w:id="1"/>
      <w:r>
        <w:lastRenderedPageBreak/>
        <w:t xml:space="preserve">Éditorial : Politique, euphémismes et </w:t>
      </w:r>
      <w:r>
        <w:rPr>
          <w:spacing w:val="-2"/>
        </w:rPr>
        <w:t>secret</w:t>
      </w:r>
    </w:p>
    <w:p w14:paraId="0E722EA1" w14:textId="4FAA4DB7" w:rsidR="00B56B8E" w:rsidRPr="00B56B8E" w:rsidRDefault="00B56B8E" w:rsidP="00B56B8E">
      <w:pPr>
        <w:pStyle w:val="BodyText"/>
        <w:spacing w:before="120" w:line="288" w:lineRule="auto"/>
        <w:ind w:left="141" w:right="214" w:hanging="1"/>
        <w:rPr>
          <w:lang w:val="fr-FR"/>
        </w:rPr>
      </w:pPr>
      <w:r w:rsidRPr="00B56B8E">
        <w:rPr>
          <w:lang w:val="fr-FR"/>
        </w:rPr>
        <w:t>Que contient un mot ? Dans le contexte de la poli</w:t>
      </w:r>
      <w:r>
        <w:rPr>
          <w:lang w:val="fr-FR"/>
        </w:rPr>
        <w:t>tique migratoire, que signifie « retour »</w:t>
      </w:r>
      <w:r w:rsidRPr="00B56B8E">
        <w:rPr>
          <w:lang w:val="fr-FR"/>
        </w:rPr>
        <w:t xml:space="preserve"> ?</w:t>
      </w:r>
    </w:p>
    <w:p w14:paraId="4D739EDE" w14:textId="0CD16A8A" w:rsidR="00B56B8E" w:rsidRPr="00B56B8E" w:rsidRDefault="00B56B8E" w:rsidP="00B56B8E">
      <w:pPr>
        <w:pStyle w:val="BodyText"/>
        <w:spacing w:before="120" w:line="288" w:lineRule="auto"/>
        <w:ind w:left="141" w:right="214" w:hanging="1"/>
        <w:rPr>
          <w:lang w:val="fr-FR"/>
        </w:rPr>
      </w:pPr>
      <w:r w:rsidRPr="00B56B8E">
        <w:rPr>
          <w:lang w:val="fr-FR"/>
        </w:rPr>
        <w:t>L’universitaire</w:t>
      </w:r>
      <w:r>
        <w:rPr>
          <w:lang w:val="fr-FR"/>
        </w:rPr>
        <w:t xml:space="preserve"> Clara Lecadet le décrit comme « </w:t>
      </w:r>
      <w:r w:rsidRPr="00B56B8E">
        <w:rPr>
          <w:lang w:val="fr-FR"/>
        </w:rPr>
        <w:t>un euphémisme pour la v</w:t>
      </w:r>
      <w:r>
        <w:rPr>
          <w:lang w:val="fr-FR"/>
        </w:rPr>
        <w:t>iolence inhérente à l'expulsion »</w:t>
      </w:r>
      <w:r w:rsidRPr="00B56B8E">
        <w:rPr>
          <w:lang w:val="fr-FR"/>
        </w:rPr>
        <w:t>, qui efface la complexité des parcours migratoires, où l’expulsion ne signifie que rarement un</w:t>
      </w:r>
      <w:r w:rsidR="00F61D6E">
        <w:rPr>
          <w:lang w:val="fr-FR"/>
        </w:rPr>
        <w:t xml:space="preserve"> véritable retour. De plus, il « naturalise »</w:t>
      </w:r>
      <w:r w:rsidRPr="00B56B8E">
        <w:rPr>
          <w:lang w:val="fr-FR"/>
        </w:rPr>
        <w:t xml:space="preserve"> le retour comme une composante normale de la migration.</w:t>
      </w:r>
    </w:p>
    <w:p w14:paraId="25FE21C2" w14:textId="68F7F3CE" w:rsidR="00B56B8E" w:rsidRPr="00B3243B" w:rsidRDefault="00B56B8E" w:rsidP="00B3243B">
      <w:pPr>
        <w:pStyle w:val="BodyText"/>
        <w:spacing w:before="120" w:line="288" w:lineRule="auto"/>
        <w:ind w:left="141" w:right="214" w:hanging="1"/>
        <w:rPr>
          <w:lang w:val="fr-FR"/>
        </w:rPr>
      </w:pPr>
      <w:r w:rsidRPr="00B56B8E">
        <w:rPr>
          <w:lang w:val="fr-FR"/>
        </w:rPr>
        <w:t xml:space="preserve">Dans ce cadre, nous considérons que le terme </w:t>
      </w:r>
      <w:r w:rsidR="00F61D6E">
        <w:rPr>
          <w:b/>
          <w:bCs/>
          <w:lang w:val="fr-FR"/>
        </w:rPr>
        <w:t>« déportation »</w:t>
      </w:r>
      <w:r w:rsidRPr="00B56B8E">
        <w:rPr>
          <w:lang w:val="fr-FR"/>
        </w:rPr>
        <w:t>, qui reflète mieux la contrainte et la violence du</w:t>
      </w:r>
      <w:r w:rsidR="00B3243B">
        <w:rPr>
          <w:lang w:val="fr-FR"/>
        </w:rPr>
        <w:t xml:space="preserve"> processus, est plus approprié.</w:t>
      </w:r>
    </w:p>
    <w:p w14:paraId="3F0E83A5" w14:textId="31C1B872" w:rsidR="00B16E36" w:rsidRPr="00B16E36" w:rsidRDefault="00B56B8E" w:rsidP="00B16E36">
      <w:pPr>
        <w:pStyle w:val="BodyText"/>
        <w:spacing w:before="120" w:line="288" w:lineRule="auto"/>
        <w:rPr>
          <w:lang w:val="fr-FR"/>
        </w:rPr>
      </w:pPr>
      <w:r>
        <w:t xml:space="preserve">Comme le </w:t>
      </w:r>
      <w:r>
        <w:rPr>
          <w:color w:val="05037E"/>
          <w:u w:val="single" w:color="05037E"/>
        </w:rPr>
        <w:t>montre l'une des deux analyses de ce bulletin</w:t>
      </w:r>
      <w:r>
        <w:t>, la politique d'expulsion de l'UE est déjà synony</w:t>
      </w:r>
      <w:r w:rsidR="00B16E36">
        <w:t xml:space="preserve">me de violence et de préjudice. </w:t>
      </w:r>
      <w:r w:rsidR="00B16E36" w:rsidRPr="00B16E36">
        <w:rPr>
          <w:lang w:val="fr-FR"/>
        </w:rPr>
        <w:t>Sans surprise, les documents officiels n'en font pas état. Ceux examinés indiquent qu'une prochaine révision de la législation européenne en matière d'expulsion risque d'entraîner des mesures encore plus strictes, sévères et nuisibles.</w:t>
      </w:r>
    </w:p>
    <w:p w14:paraId="287C2DA9" w14:textId="7335AB1F" w:rsidR="00B16E36" w:rsidRPr="00B16E36" w:rsidRDefault="00B16E36" w:rsidP="00B16E36">
      <w:pPr>
        <w:pStyle w:val="BodyText"/>
        <w:spacing w:before="120"/>
        <w:rPr>
          <w:lang w:val="fr-FR"/>
        </w:rPr>
      </w:pPr>
      <w:r w:rsidRPr="00B16E36">
        <w:rPr>
          <w:lang w:val="fr-FR"/>
        </w:rPr>
        <w:t>Da</w:t>
      </w:r>
      <w:r>
        <w:rPr>
          <w:lang w:val="fr-FR"/>
        </w:rPr>
        <w:t>ns le discours officiel, le « retour » est censé être suivi d'une « réintégration »</w:t>
      </w:r>
      <w:r w:rsidRPr="00B16E36">
        <w:rPr>
          <w:lang w:val="fr-FR"/>
        </w:rPr>
        <w:t>. Les personnes expulsées d'Europe sont supposées accepter leur sort, s'installer et ne plus tenter de repartir, du moins vers l’Europe.</w:t>
      </w:r>
    </w:p>
    <w:p w14:paraId="00129F1D" w14:textId="32B18027" w:rsidR="00D66134" w:rsidRDefault="00D66134">
      <w:pPr>
        <w:pStyle w:val="BodyText"/>
        <w:spacing w:before="120" w:line="288" w:lineRule="auto"/>
      </w:pPr>
    </w:p>
    <w:p w14:paraId="47A37835" w14:textId="229AEE7C" w:rsidR="00F61D6E" w:rsidRPr="003F6D8F" w:rsidRDefault="00F61D6E" w:rsidP="003F6D8F">
      <w:pPr>
        <w:pStyle w:val="BodyText"/>
        <w:spacing w:before="121" w:line="288" w:lineRule="auto"/>
        <w:rPr>
          <w:lang w:val="fr-FR"/>
        </w:rPr>
      </w:pPr>
      <w:r w:rsidRPr="00B16E36">
        <w:rPr>
          <w:lang w:val="fr-FR"/>
        </w:rPr>
        <w:t>Ce terme est également un euphémisme politique, impliquant que l</w:t>
      </w:r>
      <w:r w:rsidR="003F6D8F">
        <w:rPr>
          <w:lang w:val="fr-FR"/>
        </w:rPr>
        <w:t>es expulsés étaient auparavant « intégrés »</w:t>
      </w:r>
      <w:r w:rsidRPr="00B16E36">
        <w:rPr>
          <w:lang w:val="fr-FR"/>
        </w:rPr>
        <w:t xml:space="preserve"> dans leur pays d’origine – une supposition discutable, voire infondée.</w:t>
      </w:r>
    </w:p>
    <w:p w14:paraId="392DC4C2" w14:textId="619FBBB3" w:rsidR="00D66134" w:rsidRDefault="00B56B8E" w:rsidP="003F6D8F">
      <w:pPr>
        <w:pStyle w:val="BodyText"/>
        <w:spacing w:before="121" w:line="288" w:lineRule="auto"/>
        <w:ind w:right="214" w:firstLine="1"/>
        <w:rPr>
          <w:lang w:val="fr-FR"/>
        </w:rPr>
      </w:pPr>
      <w:r>
        <w:t xml:space="preserve">La politique de réintégration de l'UE fait l'objet d'une </w:t>
      </w:r>
      <w:hyperlink w:anchor="_bookmark7" w:history="1">
        <w:r>
          <w:rPr>
            <w:color w:val="05037E"/>
            <w:u w:val="single" w:color="05037E"/>
          </w:rPr>
          <w:t>autre analyse dans cette édition</w:t>
        </w:r>
      </w:hyperlink>
      <w:r w:rsidR="003F6D8F">
        <w:t xml:space="preserve"> avec un </w:t>
      </w:r>
      <w:r w:rsidR="003F6D8F" w:rsidRPr="003F6D8F">
        <w:rPr>
          <w:lang w:val="fr-FR"/>
        </w:rPr>
        <w:t>rôle</w:t>
      </w:r>
      <w:r w:rsidR="003F6D8F" w:rsidRPr="003F6D8F">
        <w:t xml:space="preserve"> </w:t>
      </w:r>
      <w:r w:rsidR="003F6D8F">
        <w:t xml:space="preserve">croissant accordé à </w:t>
      </w:r>
      <w:r>
        <w:t>Frontex</w:t>
      </w:r>
      <w:r w:rsidR="003F6D8F">
        <w:t xml:space="preserve">. </w:t>
      </w:r>
      <w:r w:rsidR="003F6D8F" w:rsidRPr="003F6D8F">
        <w:rPr>
          <w:lang w:val="fr-FR"/>
        </w:rPr>
        <w:t>Des témoignages du Nigeria et de la Gambie suggèrent que cela pourrait aggraver les difficultés rencontrées par les exp</w:t>
      </w:r>
      <w:r w:rsidR="003F6D8F">
        <w:rPr>
          <w:lang w:val="fr-FR"/>
        </w:rPr>
        <w:t>ulsés, notamment une aide à la « réintégration »</w:t>
      </w:r>
      <w:r w:rsidR="003F6D8F" w:rsidRPr="003F6D8F">
        <w:rPr>
          <w:lang w:val="fr-FR"/>
        </w:rPr>
        <w:t xml:space="preserve"> insuffisante, fournie par un réseau confus d'agences et de prestataires, ainsi que des enjeux liés à la souveraineté nationale et au contrôle démocratique</w:t>
      </w:r>
      <w:r w:rsidR="003F6D8F">
        <w:rPr>
          <w:lang w:val="fr-FR"/>
        </w:rPr>
        <w:t>.</w:t>
      </w:r>
    </w:p>
    <w:p w14:paraId="47F0AF7F" w14:textId="4F417958" w:rsidR="003F6D8F" w:rsidRPr="00B3243B" w:rsidRDefault="003F6D8F" w:rsidP="00B3243B">
      <w:pPr>
        <w:pStyle w:val="BodyText"/>
        <w:spacing w:before="121"/>
        <w:ind w:right="214" w:firstLine="1"/>
        <w:rPr>
          <w:lang w:val="fr-FR"/>
        </w:rPr>
      </w:pPr>
      <w:r w:rsidRPr="003F6D8F">
        <w:rPr>
          <w:lang w:val="fr-FR"/>
        </w:rPr>
        <w:t>D'importantes sommes d'argent public sont allouées aux expulsions et à la réintégration</w:t>
      </w:r>
      <w:r>
        <w:rPr>
          <w:lang w:val="fr-FR"/>
        </w:rPr>
        <w:t xml:space="preserve"> : 20 millions d'euros pour la « réintégration durable »</w:t>
      </w:r>
      <w:r w:rsidRPr="003F6D8F">
        <w:rPr>
          <w:lang w:val="fr-FR"/>
        </w:rPr>
        <w:t xml:space="preserve"> des expulsés au Bangladesh, le même montant pour un projet similaire en Irak, 113 millions d'euros pour un projet UE-OIM en Afrique subsaharienne, et 180 millions d'euros supplémentai</w:t>
      </w:r>
      <w:r>
        <w:rPr>
          <w:lang w:val="fr-FR"/>
        </w:rPr>
        <w:t>res pour un autre programme de « réintégration durable »</w:t>
      </w:r>
      <w:r w:rsidRPr="003F6D8F">
        <w:rPr>
          <w:lang w:val="fr-FR"/>
        </w:rPr>
        <w:t>.</w:t>
      </w:r>
    </w:p>
    <w:p w14:paraId="078726CE" w14:textId="43E8E8D2" w:rsidR="00C1727F" w:rsidRPr="00C1727F" w:rsidRDefault="00B56B8E" w:rsidP="00B3243B">
      <w:pPr>
        <w:pStyle w:val="BodyText"/>
        <w:spacing w:before="120" w:line="288" w:lineRule="auto"/>
        <w:ind w:hanging="1"/>
        <w:rPr>
          <w:lang w:val="fr-FR"/>
        </w:rPr>
      </w:pPr>
      <w:r>
        <w:t>Ces chiffres proviennent d'</w:t>
      </w:r>
      <w:hyperlink r:id="rId10">
        <w:r>
          <w:rPr>
            <w:color w:val="05037E"/>
            <w:u w:val="single" w:color="05037E"/>
          </w:rPr>
          <w:t>un des documents</w:t>
        </w:r>
      </w:hyperlink>
      <w:r>
        <w:t xml:space="preserve"> que nous publions avec ce bulletin sur le </w:t>
      </w:r>
      <w:hyperlink r:id="rId11">
        <w:r>
          <w:rPr>
            <w:color w:val="05037E"/>
            <w:u w:val="single" w:color="05037E"/>
          </w:rPr>
          <w:t>Groupe de coordination sur les migrations (GCM)</w:t>
        </w:r>
      </w:hyperlink>
      <w:r>
        <w:t xml:space="preserve">, un organe secret au sein duquel la Commission et les États membres coordonnent </w:t>
      </w:r>
      <w:r w:rsidR="00C1727F" w:rsidRPr="00B3243B">
        <w:rPr>
          <w:lang w:val="fr-FR"/>
        </w:rPr>
        <w:t>les financements des projets de migration extérieure.</w:t>
      </w:r>
    </w:p>
    <w:p w14:paraId="1E2C538D" w14:textId="6C3BA75A" w:rsidR="00D66134" w:rsidRDefault="00D66134" w:rsidP="00E9465E">
      <w:pPr>
        <w:pStyle w:val="BodyText"/>
        <w:spacing w:line="288" w:lineRule="auto"/>
        <w:ind w:left="0"/>
      </w:pPr>
    </w:p>
    <w:p w14:paraId="78C0CBC6" w14:textId="77777777" w:rsidR="00B3243B" w:rsidRPr="00B3243B" w:rsidRDefault="00B3243B" w:rsidP="00B3243B">
      <w:pPr>
        <w:pStyle w:val="BodyText"/>
        <w:spacing w:line="288" w:lineRule="auto"/>
        <w:rPr>
          <w:lang w:val="fr-FR"/>
        </w:rPr>
      </w:pPr>
      <w:r w:rsidRPr="00B3243B">
        <w:rPr>
          <w:lang w:val="fr-FR"/>
        </w:rPr>
        <w:t xml:space="preserve">Créé fin 2021, le </w:t>
      </w:r>
      <w:r w:rsidRPr="00B3243B">
        <w:rPr>
          <w:b/>
          <w:bCs/>
          <w:lang w:val="fr-FR"/>
        </w:rPr>
        <w:t>Groupe de coordination sur les migrations (GCM)</w:t>
      </w:r>
      <w:r w:rsidRPr="00B3243B">
        <w:rPr>
          <w:lang w:val="fr-FR"/>
        </w:rPr>
        <w:t xml:space="preserve"> réunit des représentants de haut niveau de l’UE et des États membres pour coordonner les projets migratoires en cours ou à venir à l’échelle mondiale.</w:t>
      </w:r>
    </w:p>
    <w:p w14:paraId="17565E66" w14:textId="3AB65196" w:rsidR="00B3243B" w:rsidRPr="00B3243B" w:rsidRDefault="00B3243B" w:rsidP="00B3243B">
      <w:pPr>
        <w:pStyle w:val="BodyText"/>
        <w:spacing w:line="288" w:lineRule="auto"/>
        <w:rPr>
          <w:lang w:val="fr-FR"/>
        </w:rPr>
      </w:pPr>
      <w:r w:rsidRPr="00B3243B">
        <w:rPr>
          <w:lang w:val="fr-FR"/>
        </w:rPr>
        <w:t>Son</w:t>
      </w:r>
      <w:r w:rsidR="00E9465E">
        <w:rPr>
          <w:lang w:val="fr-FR"/>
        </w:rPr>
        <w:t xml:space="preserve"> objectif est d’identifier des « complémentarités et synergies »</w:t>
      </w:r>
      <w:r w:rsidRPr="00B3243B">
        <w:rPr>
          <w:lang w:val="fr-FR"/>
        </w:rPr>
        <w:t xml:space="preserve"> entre les actions de l’UE et celles des États membres. À première vue, cette approche semble pertinente : éviter le gaspillage de fonds publics en doublonnant les initiatives et favoriser une action collective plus efficace.</w:t>
      </w:r>
    </w:p>
    <w:p w14:paraId="538AD2B6" w14:textId="77777777" w:rsidR="00B3243B" w:rsidRDefault="00B3243B">
      <w:pPr>
        <w:pStyle w:val="BodyText"/>
        <w:spacing w:line="288" w:lineRule="auto"/>
        <w:sectPr w:rsidR="00B3243B">
          <w:pgSz w:w="11910" w:h="16840"/>
          <w:pgMar w:top="1320" w:right="1275" w:bottom="1960" w:left="1275" w:header="0" w:footer="1766" w:gutter="0"/>
          <w:cols w:space="720"/>
        </w:sectPr>
      </w:pPr>
    </w:p>
    <w:p w14:paraId="1091D083" w14:textId="77777777" w:rsidR="00822F5F" w:rsidRPr="00822F5F" w:rsidRDefault="00822F5F" w:rsidP="00822F5F">
      <w:pPr>
        <w:pStyle w:val="BodyText"/>
        <w:spacing w:before="120" w:line="276" w:lineRule="auto"/>
        <w:rPr>
          <w:lang w:val="fr-FR"/>
        </w:rPr>
      </w:pPr>
      <w:r w:rsidRPr="00822F5F">
        <w:rPr>
          <w:lang w:val="fr-FR"/>
        </w:rPr>
        <w:lastRenderedPageBreak/>
        <w:t>Cependant, ces avantages apparents masquent un problème fondamental : ces financements servent avant tout à renforcer des politiques migratoires et de contrôle des frontières nuisibles. De plus, une grande partie de ces fonds provient de l'aide au développement, détournée à ces fins.</w:t>
      </w:r>
    </w:p>
    <w:p w14:paraId="5384ED9F" w14:textId="77777777" w:rsidR="00D66134" w:rsidRDefault="00B56B8E">
      <w:pPr>
        <w:pStyle w:val="BodyText"/>
        <w:spacing w:before="120" w:line="288" w:lineRule="auto"/>
      </w:pPr>
      <w:r>
        <w:t xml:space="preserve">Les projets examinés par le CGM sont principalement financés par les budgets de développement - pour </w:t>
      </w:r>
      <w:r>
        <w:rPr>
          <w:spacing w:val="-3"/>
        </w:rPr>
        <w:t>l</w:t>
      </w:r>
      <w:r>
        <w:t xml:space="preserve">'UE, il s'agit de l'instrument de voisinage, de développement et de coopération internationale </w:t>
      </w:r>
      <w:r>
        <w:rPr>
          <w:spacing w:val="-2"/>
        </w:rPr>
        <w:t>(NDICI).</w:t>
      </w:r>
    </w:p>
    <w:p w14:paraId="1F8B0792" w14:textId="0FA706CD" w:rsidR="00E9465E" w:rsidRPr="00AA6F72" w:rsidRDefault="00B56B8E" w:rsidP="00AA6F72">
      <w:pPr>
        <w:pStyle w:val="BodyText"/>
        <w:spacing w:before="121" w:line="276" w:lineRule="auto"/>
        <w:ind w:hanging="1"/>
        <w:rPr>
          <w:lang w:val="fr-FR"/>
        </w:rPr>
      </w:pPr>
      <w:r>
        <w:t>Jusqu'à 10 % de ce budget de 80 milliards d'euros sont censés être utilisés pour des proje</w:t>
      </w:r>
      <w:r w:rsidR="00822F5F">
        <w:t xml:space="preserve">ts liés à l'immigration, </w:t>
      </w:r>
      <w:hyperlink r:id="rId12">
        <w:r w:rsidR="00822F5F">
          <w:rPr>
            <w:color w:val="05037E"/>
            <w:u w:val="single" w:color="05037E"/>
          </w:rPr>
          <w:t>détournant ainsi</w:t>
        </w:r>
        <w:r>
          <w:rPr>
            <w:color w:val="05037E"/>
            <w:u w:val="single" w:color="05037E"/>
          </w:rPr>
          <w:t xml:space="preserve"> l'aide au développement</w:t>
        </w:r>
      </w:hyperlink>
      <w:r w:rsidR="00AA6F72">
        <w:rPr>
          <w:color w:val="05037E"/>
          <w:u w:val="single" w:color="05037E"/>
        </w:rPr>
        <w:t xml:space="preserve"> de son objectif initial</w:t>
      </w:r>
      <w:r>
        <w:t xml:space="preserve">. </w:t>
      </w:r>
      <w:r w:rsidR="00AA6F72" w:rsidRPr="00AA6F72">
        <w:rPr>
          <w:lang w:val="fr-FR"/>
        </w:rPr>
        <w:t>Plutôt que de normaliser cette pratique, il est essentiel de la remettre en question.</w:t>
      </w:r>
    </w:p>
    <w:p w14:paraId="2FAEA6BD" w14:textId="77777777" w:rsidR="00E9465E" w:rsidRDefault="00E9465E">
      <w:pPr>
        <w:pStyle w:val="BodyText"/>
        <w:spacing w:before="121" w:line="288" w:lineRule="auto"/>
        <w:ind w:hanging="1"/>
      </w:pPr>
    </w:p>
    <w:p w14:paraId="7222B7A0" w14:textId="1620017E" w:rsidR="00D66134" w:rsidRDefault="004039F1" w:rsidP="004039F1">
      <w:pPr>
        <w:pStyle w:val="BodyText"/>
        <w:spacing w:before="120" w:line="288" w:lineRule="auto"/>
        <w:ind w:right="244"/>
        <w:rPr>
          <w:lang w:val="fr-FR"/>
        </w:rPr>
      </w:pPr>
      <w:r>
        <w:t>L'opposition devient d’autant</w:t>
      </w:r>
      <w:r w:rsidR="00B56B8E">
        <w:t xml:space="preserve"> plus difficile lorsque les discussions et décisions se déro</w:t>
      </w:r>
      <w:r>
        <w:t>ulent en secret. Le CGM est un</w:t>
      </w:r>
      <w:r w:rsidRPr="004039F1">
        <w:rPr>
          <w:lang w:val="fr-FR"/>
        </w:rPr>
        <w:t xml:space="preserve">« groupe spécial informel », ce qui signifie qu’il échappe aux règles de transparence applicables </w:t>
      </w:r>
      <w:r>
        <w:t xml:space="preserve"> </w:t>
      </w:r>
      <w:hyperlink r:id="rId13">
        <w:r w:rsidR="00B56B8E">
          <w:rPr>
            <w:color w:val="05037E"/>
            <w:u w:val="single" w:color="05037E"/>
          </w:rPr>
          <w:t>groupes d'experts et de conseillers de la Commission</w:t>
        </w:r>
      </w:hyperlink>
      <w:r>
        <w:t xml:space="preserve"> (</w:t>
      </w:r>
      <w:r w:rsidRPr="004039F1">
        <w:rPr>
          <w:lang w:val="fr-FR"/>
        </w:rPr>
        <w:t>un euphémisme en soi</w:t>
      </w:r>
      <w:r>
        <w:rPr>
          <w:lang w:val="fr-FR"/>
        </w:rPr>
        <w:t>)</w:t>
      </w:r>
      <w:r w:rsidRPr="004039F1">
        <w:rPr>
          <w:lang w:val="fr-FR"/>
        </w:rPr>
        <w:t>.</w:t>
      </w:r>
    </w:p>
    <w:p w14:paraId="64E6037B" w14:textId="77777777" w:rsidR="004039F1" w:rsidRDefault="004039F1" w:rsidP="004039F1">
      <w:pPr>
        <w:pStyle w:val="BodyText"/>
        <w:spacing w:before="120" w:line="288" w:lineRule="auto"/>
        <w:ind w:right="244"/>
        <w:rPr>
          <w:lang w:val="fr-FR"/>
        </w:rPr>
      </w:pPr>
    </w:p>
    <w:p w14:paraId="61A237F2" w14:textId="411A2B64" w:rsidR="004039F1" w:rsidRPr="004039F1" w:rsidRDefault="004039F1" w:rsidP="004039F1">
      <w:pPr>
        <w:pStyle w:val="BodyText"/>
        <w:spacing w:line="276" w:lineRule="auto"/>
        <w:ind w:right="244"/>
        <w:rPr>
          <w:lang w:val="fr-FR"/>
        </w:rPr>
      </w:pPr>
      <w:r w:rsidRPr="004039F1">
        <w:rPr>
          <w:lang w:val="fr-FR"/>
        </w:rPr>
        <w:t xml:space="preserve">Ce manque de transparence fait que le GCM est à peine mentionné dans les documents publics, et aucune information </w:t>
      </w:r>
      <w:r w:rsidR="00A85918">
        <w:rPr>
          <w:lang w:val="fr-FR"/>
        </w:rPr>
        <w:t xml:space="preserve">publique </w:t>
      </w:r>
      <w:r w:rsidRPr="004039F1">
        <w:rPr>
          <w:lang w:val="fr-FR"/>
        </w:rPr>
        <w:t>significative n'est accessible. À notre connaissance, nous sommes la première organisation à publier des documents substantiels issus de ses travaux.</w:t>
      </w:r>
    </w:p>
    <w:p w14:paraId="70DE71B5" w14:textId="3ACFF8E9" w:rsidR="00AA6F72" w:rsidRPr="00AA6F72" w:rsidRDefault="00AA6F72" w:rsidP="00AA6F72">
      <w:pPr>
        <w:pStyle w:val="BodyText"/>
        <w:spacing w:before="120" w:line="288" w:lineRule="auto"/>
        <w:ind w:left="141" w:hanging="1"/>
        <w:rPr>
          <w:lang w:val="fr-FR"/>
        </w:rPr>
      </w:pPr>
      <w:r w:rsidRPr="00A85918">
        <w:rPr>
          <w:lang w:val="fr-FR"/>
        </w:rPr>
        <w:t>Cependant, ces documents restent limités, datant principalement de 2021 et 2022. L’accès aux plus récents a été refusé au motif que les décisions sur les projets concernés n’ont pas encore été prises. D’autres refus et expurgations ont été j</w:t>
      </w:r>
      <w:r w:rsidR="000B1CA7">
        <w:rPr>
          <w:lang w:val="fr-FR"/>
        </w:rPr>
        <w:t>ustifiés par des impératifs de « sécurité publique »</w:t>
      </w:r>
      <w:r w:rsidRPr="00A85918">
        <w:rPr>
          <w:lang w:val="fr-FR"/>
        </w:rPr>
        <w:t xml:space="preserve"> et de préservation des relations internationales.</w:t>
      </w:r>
    </w:p>
    <w:p w14:paraId="3F285DE5" w14:textId="77777777" w:rsidR="00AA6F72" w:rsidRDefault="00AA6F72">
      <w:pPr>
        <w:pStyle w:val="BodyText"/>
        <w:spacing w:before="120" w:line="288" w:lineRule="auto"/>
        <w:ind w:left="141" w:hanging="1"/>
      </w:pPr>
    </w:p>
    <w:p w14:paraId="3480C943" w14:textId="446E49F2" w:rsidR="00AA6F72" w:rsidRPr="000B1CA7" w:rsidRDefault="00A85918" w:rsidP="000B1CA7">
      <w:pPr>
        <w:pStyle w:val="BodyText"/>
        <w:spacing w:before="120" w:line="288" w:lineRule="auto"/>
        <w:ind w:left="141" w:hanging="1"/>
        <w:rPr>
          <w:lang w:val="fr-FR"/>
        </w:rPr>
      </w:pPr>
      <w:r w:rsidRPr="00A85918">
        <w:rPr>
          <w:lang w:val="fr-FR"/>
        </w:rPr>
        <w:t>Ces documents restent précieux pour toute personne cherchant à comprendre, analyser ou contester l'enracinement du programme de contrôle des migrations extérieures de l'UE. Ils offrent un aperçu des projets, des priorités et des pistes pour des recherches approfondies.</w:t>
      </w:r>
    </w:p>
    <w:p w14:paraId="682FA341" w14:textId="6E8DC9C9" w:rsidR="00D66134" w:rsidRDefault="00B56B8E">
      <w:pPr>
        <w:pStyle w:val="BodyText"/>
        <w:spacing w:before="119" w:line="288" w:lineRule="auto"/>
      </w:pPr>
      <w:r>
        <w:t xml:space="preserve">Pour </w:t>
      </w:r>
      <w:r w:rsidR="00A85918">
        <w:t xml:space="preserve">notre part, nous continuerons </w:t>
      </w:r>
      <w:r>
        <w:t>à accéder à dava</w:t>
      </w:r>
      <w:r w:rsidR="00A85918">
        <w:t xml:space="preserve">ntage de documents produits </w:t>
      </w:r>
      <w:r w:rsidR="000B1CA7">
        <w:t>par le</w:t>
      </w:r>
      <w:r>
        <w:rPr>
          <w:spacing w:val="-1"/>
        </w:rPr>
        <w:t xml:space="preserve"> </w:t>
      </w:r>
      <w:r>
        <w:t>CGM et d'autres enti</w:t>
      </w:r>
      <w:r w:rsidR="00A85918">
        <w:t>tés secrètes de l'UE, comme</w:t>
      </w:r>
      <w:r>
        <w:t xml:space="preserve"> le </w:t>
      </w:r>
      <w:hyperlink r:id="rId14">
        <w:r>
          <w:rPr>
            <w:color w:val="05037E"/>
            <w:u w:val="single" w:color="05037E"/>
          </w:rPr>
          <w:t>MOCADEM</w:t>
        </w:r>
      </w:hyperlink>
      <w:r w:rsidR="00A85918">
        <w:t>. De même, nous poursuivrons la publication</w:t>
      </w:r>
      <w:r>
        <w:t xml:space="preserve"> des documents</w:t>
      </w:r>
      <w:r w:rsidR="000B1CA7">
        <w:t xml:space="preserve"> issus</w:t>
      </w:r>
      <w:r>
        <w:t xml:space="preserve"> d'</w:t>
      </w:r>
      <w:hyperlink r:id="rId15">
        <w:r>
          <w:rPr>
            <w:color w:val="05037E"/>
            <w:u w:val="single" w:color="05037E"/>
          </w:rPr>
          <w:t>autres organes de l'UE</w:t>
        </w:r>
      </w:hyperlink>
      <w:r>
        <w:t xml:space="preserve">. Avec une nouvelle Commission </w:t>
      </w:r>
      <w:hyperlink r:id="rId16">
        <w:r>
          <w:rPr>
            <w:color w:val="05037E"/>
            <w:u w:val="single" w:color="05037E"/>
          </w:rPr>
          <w:t>prête à accélérer l'</w:t>
        </w:r>
      </w:hyperlink>
      <w:hyperlink r:id="rId17">
        <w:r>
          <w:rPr>
            <w:color w:val="05037E"/>
            <w:u w:val="single" w:color="05037E"/>
          </w:rPr>
          <w:t>agenda de l'externalisation</w:t>
        </w:r>
      </w:hyperlink>
      <w:r>
        <w:t xml:space="preserve">, il est plus important que jamais de </w:t>
      </w:r>
      <w:r w:rsidR="000B1CA7">
        <w:t xml:space="preserve">les exposer et de les remettre en question. </w:t>
      </w:r>
    </w:p>
    <w:p w14:paraId="0696E8E8" w14:textId="77777777" w:rsidR="00D66134" w:rsidRDefault="00B56B8E">
      <w:pPr>
        <w:tabs>
          <w:tab w:val="left" w:pos="860"/>
        </w:tabs>
        <w:spacing w:before="120"/>
        <w:ind w:left="500"/>
        <w:rPr>
          <w:i/>
        </w:rPr>
      </w:pPr>
      <w:r>
        <w:tab/>
        <w:t xml:space="preserve">-Chris Jones, </w:t>
      </w:r>
      <w:r>
        <w:rPr>
          <w:i/>
          <w:spacing w:val="-2"/>
        </w:rPr>
        <w:t>Statewatch</w:t>
      </w:r>
    </w:p>
    <w:p w14:paraId="6671BC29" w14:textId="77777777" w:rsidR="00D66134" w:rsidRDefault="00D66134">
      <w:pPr>
        <w:rPr>
          <w:i/>
        </w:rPr>
        <w:sectPr w:rsidR="00D66134">
          <w:pgSz w:w="11910" w:h="16840"/>
          <w:pgMar w:top="1320" w:right="1275" w:bottom="1960" w:left="1275" w:header="0" w:footer="1766" w:gutter="0"/>
          <w:cols w:space="720"/>
        </w:sectPr>
      </w:pPr>
    </w:p>
    <w:p w14:paraId="344C4D5B" w14:textId="77777777" w:rsidR="00D66134" w:rsidRDefault="00B56B8E">
      <w:pPr>
        <w:pStyle w:val="Heading1"/>
      </w:pPr>
      <w:bookmarkStart w:id="2" w:name="Thematic_and_regional_developments"/>
      <w:bookmarkStart w:id="3" w:name="_bookmark1"/>
      <w:bookmarkEnd w:id="2"/>
      <w:bookmarkEnd w:id="3"/>
      <w:r>
        <w:rPr>
          <w:spacing w:val="-2"/>
        </w:rPr>
        <w:t xml:space="preserve">Développements </w:t>
      </w:r>
      <w:r>
        <w:t>thématiques et régionaux</w:t>
      </w:r>
    </w:p>
    <w:p w14:paraId="6E407B71" w14:textId="185AD590" w:rsidR="00D66134" w:rsidRDefault="00B56B8E">
      <w:pPr>
        <w:pStyle w:val="BodyText"/>
        <w:spacing w:before="186" w:line="288" w:lineRule="auto"/>
        <w:ind w:right="174"/>
      </w:pPr>
      <w:r>
        <w:t>La plupart des documents publiés avec ce bulletin concernent le Groupe de Coordination sur l</w:t>
      </w:r>
      <w:r w:rsidR="000B1CA7">
        <w:t>es Migrations (GCM) et datent principalement</w:t>
      </w:r>
      <w:r>
        <w:t xml:space="preserve"> de 2</w:t>
      </w:r>
      <w:r w:rsidR="000B1CA7">
        <w:t>021 ou 2022. Bien qu'ils ne reflèt</w:t>
      </w:r>
      <w:r>
        <w:t xml:space="preserve">ent pas </w:t>
      </w:r>
      <w:r w:rsidR="000B1CA7">
        <w:t>l</w:t>
      </w:r>
      <w:r>
        <w:t>es développements</w:t>
      </w:r>
      <w:r w:rsidR="000B1CA7">
        <w:t xml:space="preserve"> les plus</w:t>
      </w:r>
      <w:r>
        <w:t xml:space="preserve"> récen</w:t>
      </w:r>
      <w:r w:rsidR="00084BC3">
        <w:t xml:space="preserve">ts, ils offrent un apercu du </w:t>
      </w:r>
      <w:r w:rsidR="00F757FD">
        <w:t>fonctionnement du</w:t>
      </w:r>
      <w:r w:rsidR="00084BC3">
        <w:t xml:space="preserve"> GCM, d</w:t>
      </w:r>
      <w:r>
        <w:t>es types de projets discutés au sein du</w:t>
      </w:r>
      <w:r w:rsidR="00084BC3">
        <w:t xml:space="preserve"> groupe et des fonds</w:t>
      </w:r>
      <w:r>
        <w:t xml:space="preserve"> d'aide</w:t>
      </w:r>
      <w:r w:rsidR="00084BC3">
        <w:t xml:space="preserve"> au développement alloués à</w:t>
      </w:r>
      <w:r>
        <w:t xml:space="preserve"> des projets orientés, d'une</w:t>
      </w:r>
      <w:r w:rsidR="00084BC3">
        <w:t xml:space="preserve"> manière ou d'une autre, au</w:t>
      </w:r>
      <w:r>
        <w:t xml:space="preserve"> contrôle externalisé des migrations.</w:t>
      </w:r>
    </w:p>
    <w:p w14:paraId="3ACC80A8" w14:textId="0F36D35B" w:rsidR="00D66134" w:rsidRDefault="00B56B8E">
      <w:pPr>
        <w:pStyle w:val="BodyText"/>
        <w:spacing w:before="121" w:line="288" w:lineRule="auto"/>
        <w:ind w:left="141" w:right="190"/>
      </w:pPr>
      <w:r>
        <w:t>Nous publions également une présentati</w:t>
      </w:r>
      <w:r w:rsidR="00084BC3">
        <w:t>on de Frontex sur</w:t>
      </w:r>
      <w:r w:rsidR="00084BC3" w:rsidRPr="00084BC3">
        <w:rPr>
          <w:lang w:val="fr-FR"/>
        </w:rPr>
        <w:t>« l'analyse des risques aux frontières aériennes »</w:t>
      </w:r>
      <w:r w:rsidR="00084BC3">
        <w:t>, illustrant</w:t>
      </w:r>
      <w:r>
        <w:t xml:space="preserve"> comment les de</w:t>
      </w:r>
      <w:r w:rsidR="00084BC3">
        <w:t>mandeurs d'asile sont perçus</w:t>
      </w:r>
      <w:r>
        <w:t xml:space="preserve"> comme un</w:t>
      </w:r>
      <w:r w:rsidR="00084BC3">
        <w:t xml:space="preserve"> </w:t>
      </w:r>
      <w:r w:rsidR="00084BC3">
        <w:rPr>
          <w:lang w:val="fr-FR"/>
        </w:rPr>
        <w:t xml:space="preserve">« </w:t>
      </w:r>
      <w:r w:rsidR="00084BC3" w:rsidRPr="00084BC3">
        <w:rPr>
          <w:lang w:val="fr-FR"/>
        </w:rPr>
        <w:t xml:space="preserve">risque » </w:t>
      </w:r>
      <w:r w:rsidR="00084BC3">
        <w:t>dans</w:t>
      </w:r>
      <w:r>
        <w:t xml:space="preserve"> la politique frontalière de l'UE, ainsi qu'u</w:t>
      </w:r>
      <w:r w:rsidR="00084BC3">
        <w:t>ne autre</w:t>
      </w:r>
      <w:r>
        <w:t xml:space="preserve"> sur sa coopération avec les États non membres de l'UE en 2023. Nous attendons</w:t>
      </w:r>
      <w:r w:rsidR="00084BC3">
        <w:t xml:space="preserve"> encore les réponses à de nombreuses </w:t>
      </w:r>
      <w:r>
        <w:t xml:space="preserve">demandes </w:t>
      </w:r>
      <w:r w:rsidR="00084BC3">
        <w:t xml:space="preserve">de </w:t>
      </w:r>
      <w:r>
        <w:t xml:space="preserve">documents, et </w:t>
      </w:r>
      <w:r w:rsidR="00EA273F">
        <w:t>les ajouterons aux archives dès qu'ils seront disponibles</w:t>
      </w:r>
      <w:r>
        <w:t>.</w:t>
      </w:r>
    </w:p>
    <w:p w14:paraId="6DB8B1B3" w14:textId="341B43C1" w:rsidR="000B1CA7" w:rsidRDefault="00B56B8E" w:rsidP="00EA273F">
      <w:pPr>
        <w:pStyle w:val="BodyText"/>
        <w:spacing w:before="119" w:line="288" w:lineRule="auto"/>
        <w:ind w:left="141" w:right="214"/>
      </w:pPr>
      <w:r>
        <w:t>Tous les documents résumés</w:t>
      </w:r>
      <w:r w:rsidR="00EA273F">
        <w:t xml:space="preserve"> ici, ainsi que ceux d</w:t>
      </w:r>
      <w:r>
        <w:t>es éditions précéd</w:t>
      </w:r>
      <w:r w:rsidR="00EA273F">
        <w:t>entes du bulletin, sont accessibles</w:t>
      </w:r>
      <w:r>
        <w:t xml:space="preserve"> dans nos </w:t>
      </w:r>
      <w:hyperlink r:id="rId18">
        <w:r>
          <w:rPr>
            <w:color w:val="05037E"/>
            <w:u w:val="single" w:color="05037E"/>
          </w:rPr>
          <w:t>archives documentaires</w:t>
        </w:r>
      </w:hyperlink>
      <w:r w:rsidR="00EA273F">
        <w:t>, qui incluent</w:t>
      </w:r>
      <w:r>
        <w:t xml:space="preserve"> également des sections sur :</w:t>
      </w:r>
    </w:p>
    <w:p w14:paraId="422C6819" w14:textId="77777777" w:rsidR="00D66134" w:rsidRDefault="00B56B8E">
      <w:pPr>
        <w:pStyle w:val="ListParagraph"/>
        <w:numPr>
          <w:ilvl w:val="0"/>
          <w:numId w:val="1"/>
        </w:numPr>
        <w:tabs>
          <w:tab w:val="left" w:pos="861"/>
        </w:tabs>
        <w:spacing w:before="134"/>
        <w:rPr>
          <w:rFonts w:ascii="Calibri" w:hAnsi="Calibri"/>
        </w:rPr>
      </w:pPr>
      <w:r>
        <w:t xml:space="preserve">Groupe de coordination sur les </w:t>
      </w:r>
      <w:r>
        <w:rPr>
          <w:spacing w:val="-2"/>
        </w:rPr>
        <w:t>migrations</w:t>
      </w:r>
    </w:p>
    <w:p w14:paraId="3CA25AC7" w14:textId="77777777" w:rsidR="00D66134" w:rsidRDefault="00B56B8E">
      <w:pPr>
        <w:pStyle w:val="ListParagraph"/>
        <w:numPr>
          <w:ilvl w:val="0"/>
          <w:numId w:val="1"/>
        </w:numPr>
        <w:tabs>
          <w:tab w:val="left" w:pos="861"/>
        </w:tabs>
        <w:spacing w:before="50"/>
        <w:ind w:hanging="360"/>
        <w:rPr>
          <w:rFonts w:ascii="Calibri" w:hAnsi="Calibri"/>
        </w:rPr>
      </w:pPr>
      <w:r>
        <w:rPr>
          <w:spacing w:val="-2"/>
        </w:rPr>
        <w:t xml:space="preserve">Conseil </w:t>
      </w:r>
      <w:r>
        <w:t>européen</w:t>
      </w:r>
    </w:p>
    <w:p w14:paraId="3B815A03" w14:textId="77777777" w:rsidR="00D66134" w:rsidRDefault="00B56B8E">
      <w:pPr>
        <w:pStyle w:val="ListParagraph"/>
        <w:numPr>
          <w:ilvl w:val="0"/>
          <w:numId w:val="1"/>
        </w:numPr>
        <w:tabs>
          <w:tab w:val="left" w:pos="861"/>
        </w:tabs>
        <w:spacing w:before="51"/>
        <w:ind w:hanging="360"/>
        <w:rPr>
          <w:rFonts w:ascii="Calibri" w:hAnsi="Calibri"/>
        </w:rPr>
      </w:pPr>
      <w:r>
        <w:t xml:space="preserve">Groupe de travail sur les aspects externes des migrations </w:t>
      </w:r>
      <w:r>
        <w:rPr>
          <w:spacing w:val="-2"/>
        </w:rPr>
        <w:t>(EMWP)</w:t>
      </w:r>
    </w:p>
    <w:p w14:paraId="6C66F722" w14:textId="77777777" w:rsidR="00D66134" w:rsidRDefault="00B56B8E">
      <w:pPr>
        <w:pStyle w:val="ListParagraph"/>
        <w:numPr>
          <w:ilvl w:val="0"/>
          <w:numId w:val="1"/>
        </w:numPr>
        <w:tabs>
          <w:tab w:val="left" w:pos="861"/>
        </w:tabs>
        <w:spacing w:before="49"/>
        <w:ind w:hanging="360"/>
        <w:rPr>
          <w:rFonts w:ascii="Calibri" w:hAnsi="Calibri"/>
        </w:rPr>
      </w:pPr>
      <w:r>
        <w:rPr>
          <w:spacing w:val="-2"/>
        </w:rPr>
        <w:t xml:space="preserve">Conseil </w:t>
      </w:r>
      <w:r>
        <w:t>Justice et affaires intérieures</w:t>
      </w:r>
    </w:p>
    <w:p w14:paraId="4523CF95" w14:textId="77777777" w:rsidR="00D66134" w:rsidRDefault="00B56B8E">
      <w:pPr>
        <w:pStyle w:val="ListParagraph"/>
        <w:numPr>
          <w:ilvl w:val="0"/>
          <w:numId w:val="1"/>
        </w:numPr>
        <w:tabs>
          <w:tab w:val="left" w:pos="861"/>
        </w:tabs>
        <w:spacing w:before="50"/>
        <w:ind w:hanging="360"/>
        <w:rPr>
          <w:rFonts w:ascii="Calibri" w:hAnsi="Calibri"/>
        </w:rPr>
      </w:pPr>
      <w:r>
        <w:t xml:space="preserve">Mécanisme opérationnel pour la dimension externe des migrations </w:t>
      </w:r>
      <w:r>
        <w:rPr>
          <w:spacing w:val="-2"/>
        </w:rPr>
        <w:t>(MOCADEM)</w:t>
      </w:r>
    </w:p>
    <w:p w14:paraId="09DF6744" w14:textId="77777777" w:rsidR="00D66134" w:rsidRDefault="00B56B8E">
      <w:pPr>
        <w:pStyle w:val="ListParagraph"/>
        <w:numPr>
          <w:ilvl w:val="0"/>
          <w:numId w:val="1"/>
        </w:numPr>
        <w:tabs>
          <w:tab w:val="left" w:pos="862"/>
        </w:tabs>
        <w:spacing w:before="51"/>
        <w:ind w:left="862" w:hanging="360"/>
        <w:rPr>
          <w:rFonts w:ascii="Calibri" w:hAnsi="Calibri"/>
        </w:rPr>
      </w:pPr>
      <w:r>
        <w:t xml:space="preserve">Comité stratégique sur les frontières, l'immigration et l'asile </w:t>
      </w:r>
      <w:r>
        <w:rPr>
          <w:spacing w:val="-2"/>
        </w:rPr>
        <w:t>(CSIFA)</w:t>
      </w:r>
    </w:p>
    <w:p w14:paraId="5A8950E7" w14:textId="77777777" w:rsidR="00D66134" w:rsidRDefault="00B56B8E">
      <w:pPr>
        <w:pStyle w:val="ListParagraph"/>
        <w:numPr>
          <w:ilvl w:val="0"/>
          <w:numId w:val="1"/>
        </w:numPr>
        <w:tabs>
          <w:tab w:val="left" w:pos="862"/>
        </w:tabs>
        <w:spacing w:before="48"/>
        <w:ind w:left="862" w:hanging="360"/>
        <w:rPr>
          <w:rFonts w:ascii="Calibri" w:hAnsi="Calibri"/>
        </w:rPr>
      </w:pPr>
      <w:r>
        <w:rPr>
          <w:spacing w:val="-4"/>
        </w:rPr>
        <w:t xml:space="preserve">Groupe de </w:t>
      </w:r>
      <w:r>
        <w:t>travail sur les visas</w:t>
      </w:r>
    </w:p>
    <w:p w14:paraId="60F18668" w14:textId="77777777" w:rsidR="00D66134" w:rsidRDefault="00B56B8E">
      <w:pPr>
        <w:pStyle w:val="ListParagraph"/>
        <w:numPr>
          <w:ilvl w:val="0"/>
          <w:numId w:val="1"/>
        </w:numPr>
        <w:tabs>
          <w:tab w:val="left" w:pos="862"/>
        </w:tabs>
        <w:spacing w:before="51"/>
        <w:ind w:left="862" w:hanging="360"/>
        <w:rPr>
          <w:rFonts w:ascii="Calibri" w:hAnsi="Calibri"/>
        </w:rPr>
      </w:pPr>
      <w:r>
        <w:t xml:space="preserve">Groupe de travail sur les </w:t>
      </w:r>
      <w:r>
        <w:rPr>
          <w:spacing w:val="-2"/>
        </w:rPr>
        <w:t>frontières</w:t>
      </w:r>
    </w:p>
    <w:p w14:paraId="2CBE317A" w14:textId="77777777" w:rsidR="00D66134" w:rsidRDefault="00B56B8E">
      <w:pPr>
        <w:pStyle w:val="ListParagraph"/>
        <w:numPr>
          <w:ilvl w:val="0"/>
          <w:numId w:val="1"/>
        </w:numPr>
        <w:tabs>
          <w:tab w:val="left" w:pos="862"/>
        </w:tabs>
        <w:spacing w:before="51"/>
        <w:ind w:left="862" w:hanging="360"/>
        <w:rPr>
          <w:rFonts w:ascii="Calibri" w:hAnsi="Calibri"/>
        </w:rPr>
      </w:pPr>
      <w:r>
        <w:t xml:space="preserve">Groupe de travail sur l'intégration, la migration et l'expulsion </w:t>
      </w:r>
      <w:r>
        <w:rPr>
          <w:spacing w:val="-2"/>
        </w:rPr>
        <w:t>(IMEX)</w:t>
      </w:r>
    </w:p>
    <w:p w14:paraId="177CEC2A" w14:textId="77777777" w:rsidR="00D66134" w:rsidRDefault="00B56B8E">
      <w:pPr>
        <w:pStyle w:val="Heading3"/>
        <w:spacing w:before="154"/>
        <w:ind w:left="142"/>
      </w:pPr>
      <w:r>
        <w:rPr>
          <w:spacing w:val="-2"/>
        </w:rPr>
        <w:t>Contenu</w:t>
      </w:r>
    </w:p>
    <w:p w14:paraId="2E7CCEBE" w14:textId="77777777" w:rsidR="00D66134" w:rsidRDefault="00B56B8E">
      <w:pPr>
        <w:pStyle w:val="ListParagraph"/>
        <w:numPr>
          <w:ilvl w:val="0"/>
          <w:numId w:val="1"/>
        </w:numPr>
        <w:tabs>
          <w:tab w:val="left" w:pos="860"/>
        </w:tabs>
        <w:spacing w:before="172"/>
        <w:ind w:left="860" w:hanging="360"/>
        <w:rPr>
          <w:rFonts w:ascii="Calibri" w:hAnsi="Calibri"/>
          <w:sz w:val="18"/>
        </w:rPr>
      </w:pPr>
      <w:hyperlink w:anchor="_bookmark2" w:history="1">
        <w:r>
          <w:rPr>
            <w:color w:val="05037E"/>
            <w:spacing w:val="-2"/>
            <w:u w:val="single" w:color="05037E"/>
          </w:rPr>
          <w:t xml:space="preserve">Gestion des </w:t>
        </w:r>
        <w:r>
          <w:rPr>
            <w:color w:val="05037E"/>
            <w:u w:val="single" w:color="05037E"/>
          </w:rPr>
          <w:t>frontières</w:t>
        </w:r>
      </w:hyperlink>
    </w:p>
    <w:p w14:paraId="05140D71" w14:textId="77777777" w:rsidR="00D66134" w:rsidRDefault="00B56B8E">
      <w:pPr>
        <w:pStyle w:val="ListParagraph"/>
        <w:numPr>
          <w:ilvl w:val="0"/>
          <w:numId w:val="1"/>
        </w:numPr>
        <w:tabs>
          <w:tab w:val="left" w:pos="860"/>
        </w:tabs>
        <w:spacing w:before="162"/>
        <w:ind w:left="860" w:hanging="360"/>
        <w:rPr>
          <w:rFonts w:ascii="Calibri" w:hAnsi="Calibri"/>
          <w:sz w:val="18"/>
        </w:rPr>
      </w:pPr>
      <w:hyperlink w:anchor="_bookmark3" w:history="1">
        <w:r>
          <w:rPr>
            <w:color w:val="05037E"/>
            <w:u w:val="single" w:color="05037E"/>
          </w:rPr>
          <w:t xml:space="preserve">Budgets et </w:t>
        </w:r>
        <w:r>
          <w:rPr>
            <w:color w:val="05037E"/>
            <w:spacing w:val="-2"/>
            <w:u w:val="single" w:color="05037E"/>
          </w:rPr>
          <w:t>financement</w:t>
        </w:r>
      </w:hyperlink>
    </w:p>
    <w:p w14:paraId="6D54674A" w14:textId="77777777" w:rsidR="00D66134" w:rsidRDefault="00B56B8E">
      <w:pPr>
        <w:pStyle w:val="ListParagraph"/>
        <w:numPr>
          <w:ilvl w:val="0"/>
          <w:numId w:val="1"/>
        </w:numPr>
        <w:tabs>
          <w:tab w:val="left" w:pos="860"/>
        </w:tabs>
        <w:spacing w:before="165"/>
        <w:ind w:left="860" w:hanging="360"/>
        <w:rPr>
          <w:rFonts w:ascii="Calibri" w:hAnsi="Calibri"/>
          <w:sz w:val="18"/>
        </w:rPr>
      </w:pPr>
      <w:hyperlink w:anchor="_bookmark4" w:history="1">
        <w:r>
          <w:rPr>
            <w:color w:val="05037E"/>
            <w:u w:val="single" w:color="05037E"/>
          </w:rPr>
          <w:t xml:space="preserve">Expulsion et </w:t>
        </w:r>
        <w:r>
          <w:rPr>
            <w:color w:val="05037E"/>
            <w:spacing w:val="-2"/>
            <w:u w:val="single" w:color="05037E"/>
          </w:rPr>
          <w:t>réadmission</w:t>
        </w:r>
      </w:hyperlink>
    </w:p>
    <w:p w14:paraId="5A0B6769" w14:textId="77777777" w:rsidR="00D66134" w:rsidRDefault="00B56B8E">
      <w:pPr>
        <w:pStyle w:val="ListParagraph"/>
        <w:numPr>
          <w:ilvl w:val="0"/>
          <w:numId w:val="1"/>
        </w:numPr>
        <w:tabs>
          <w:tab w:val="left" w:pos="860"/>
        </w:tabs>
        <w:spacing w:before="162"/>
        <w:ind w:left="860" w:hanging="360"/>
        <w:rPr>
          <w:rFonts w:ascii="Calibri" w:hAnsi="Calibri"/>
          <w:sz w:val="18"/>
        </w:rPr>
      </w:pPr>
      <w:hyperlink w:anchor="_bookmark5" w:history="1">
        <w:r>
          <w:rPr>
            <w:color w:val="05037E"/>
            <w:spacing w:val="-2"/>
            <w:u w:val="single" w:color="05037E"/>
          </w:rPr>
          <w:t xml:space="preserve">Partenariats </w:t>
        </w:r>
        <w:r>
          <w:rPr>
            <w:color w:val="05037E"/>
            <w:u w:val="single" w:color="05037E"/>
          </w:rPr>
          <w:t>migratoires</w:t>
        </w:r>
      </w:hyperlink>
    </w:p>
    <w:p w14:paraId="028B05C8" w14:textId="77777777" w:rsidR="00D66134" w:rsidRDefault="00B56B8E">
      <w:pPr>
        <w:pStyle w:val="ListParagraph"/>
        <w:numPr>
          <w:ilvl w:val="0"/>
          <w:numId w:val="1"/>
        </w:numPr>
        <w:tabs>
          <w:tab w:val="left" w:pos="860"/>
        </w:tabs>
        <w:spacing w:before="165"/>
        <w:ind w:left="860" w:hanging="360"/>
        <w:rPr>
          <w:rFonts w:ascii="Calibri" w:hAnsi="Calibri"/>
          <w:sz w:val="18"/>
        </w:rPr>
      </w:pPr>
      <w:hyperlink w:anchor="_bookmark6" w:history="1">
        <w:r>
          <w:rPr>
            <w:color w:val="05037E"/>
            <w:spacing w:val="-2"/>
            <w:u w:val="single" w:color="05037E"/>
          </w:rPr>
          <w:t>Autres</w:t>
        </w:r>
      </w:hyperlink>
    </w:p>
    <w:p w14:paraId="2A698CF2" w14:textId="77777777" w:rsidR="00D66134" w:rsidRDefault="00D66134">
      <w:pPr>
        <w:pStyle w:val="BodyText"/>
        <w:spacing w:before="104"/>
        <w:ind w:left="0"/>
        <w:rPr>
          <w:sz w:val="23"/>
        </w:rPr>
      </w:pPr>
    </w:p>
    <w:p w14:paraId="2E50D7BD" w14:textId="77777777" w:rsidR="00D66134" w:rsidRDefault="00B56B8E">
      <w:pPr>
        <w:pStyle w:val="Heading2"/>
      </w:pPr>
      <w:bookmarkStart w:id="4" w:name="Border_management"/>
      <w:bookmarkStart w:id="5" w:name="_bookmark2"/>
      <w:bookmarkEnd w:id="4"/>
      <w:bookmarkEnd w:id="5"/>
      <w:r>
        <w:rPr>
          <w:spacing w:val="-2"/>
        </w:rPr>
        <w:t xml:space="preserve">Gestion des </w:t>
      </w:r>
      <w:r>
        <w:t>frontières</w:t>
      </w:r>
    </w:p>
    <w:p w14:paraId="6E714480" w14:textId="77777777" w:rsidR="00D66134" w:rsidRDefault="00B56B8E">
      <w:pPr>
        <w:pStyle w:val="BodyText"/>
        <w:spacing w:before="180"/>
      </w:pPr>
      <w:hyperlink r:id="rId19">
        <w:r>
          <w:rPr>
            <w:color w:val="05037E"/>
            <w:u w:val="single" w:color="05037E"/>
          </w:rPr>
          <w:t xml:space="preserve">Analyse des risques aux </w:t>
        </w:r>
        <w:r>
          <w:rPr>
            <w:color w:val="05037E"/>
            <w:spacing w:val="-2"/>
            <w:u w:val="single" w:color="05037E"/>
          </w:rPr>
          <w:t xml:space="preserve">frontières </w:t>
        </w:r>
        <w:r>
          <w:rPr>
            <w:color w:val="05037E"/>
            <w:u w:val="single" w:color="05037E"/>
          </w:rPr>
          <w:t>aériennes</w:t>
        </w:r>
      </w:hyperlink>
    </w:p>
    <w:p w14:paraId="0A5DD059" w14:textId="0D7CD305" w:rsidR="00D66134" w:rsidRDefault="00B56B8E">
      <w:pPr>
        <w:pStyle w:val="ListParagraph"/>
        <w:numPr>
          <w:ilvl w:val="0"/>
          <w:numId w:val="1"/>
        </w:numPr>
        <w:tabs>
          <w:tab w:val="left" w:pos="861"/>
        </w:tabs>
        <w:spacing w:before="183"/>
        <w:rPr>
          <w:rFonts w:ascii="Calibri" w:hAnsi="Calibri"/>
        </w:rPr>
      </w:pPr>
      <w:r>
        <w:rPr>
          <w:spacing w:val="-2"/>
        </w:rPr>
        <w:t xml:space="preserve">Points </w:t>
      </w:r>
      <w:r>
        <w:t>clés</w:t>
      </w:r>
      <w:r w:rsidR="00F757FD">
        <w:t>:</w:t>
      </w:r>
    </w:p>
    <w:p w14:paraId="4C0EA4E6" w14:textId="2DEC27C1" w:rsidR="00D66134" w:rsidRDefault="00B56B8E">
      <w:pPr>
        <w:pStyle w:val="ListParagraph"/>
        <w:numPr>
          <w:ilvl w:val="1"/>
          <w:numId w:val="1"/>
        </w:numPr>
        <w:tabs>
          <w:tab w:val="left" w:pos="1580"/>
        </w:tabs>
        <w:spacing w:before="8"/>
        <w:ind w:left="1580" w:hanging="359"/>
      </w:pPr>
      <w:r>
        <w:t xml:space="preserve">Présentation par Frontex </w:t>
      </w:r>
      <w:r w:rsidR="00EA273F">
        <w:t xml:space="preserve">sur </w:t>
      </w:r>
      <w:r>
        <w:t xml:space="preserve">l'analyse des risques aux </w:t>
      </w:r>
      <w:r>
        <w:rPr>
          <w:spacing w:val="-2"/>
        </w:rPr>
        <w:t xml:space="preserve">frontières </w:t>
      </w:r>
      <w:r>
        <w:t>aériennes</w:t>
      </w:r>
    </w:p>
    <w:p w14:paraId="68D8D8BB" w14:textId="638B75DC" w:rsidR="00D66134" w:rsidRDefault="00EA273F">
      <w:pPr>
        <w:pStyle w:val="ListParagraph"/>
        <w:numPr>
          <w:ilvl w:val="1"/>
          <w:numId w:val="1"/>
        </w:numPr>
        <w:tabs>
          <w:tab w:val="left" w:pos="1579"/>
          <w:tab w:val="left" w:pos="1581"/>
        </w:tabs>
        <w:spacing w:before="1" w:line="249" w:lineRule="auto"/>
        <w:ind w:right="165"/>
      </w:pPr>
      <w:r w:rsidRPr="00EA273F">
        <w:t xml:space="preserve">Indique que le </w:t>
      </w:r>
      <w:r w:rsidRPr="00EA273F">
        <w:rPr>
          <w:lang w:val="fr-FR"/>
        </w:rPr>
        <w:t>«</w:t>
      </w:r>
      <w:r>
        <w:rPr>
          <w:lang w:val="fr-FR"/>
        </w:rPr>
        <w:t xml:space="preserve"> </w:t>
      </w:r>
      <w:r w:rsidRPr="00EA273F">
        <w:rPr>
          <w:bCs/>
        </w:rPr>
        <w:t>Réseau d'analyse des r</w:t>
      </w:r>
      <w:r>
        <w:rPr>
          <w:bCs/>
        </w:rPr>
        <w:t>isques aux frontières aériennes</w:t>
      </w:r>
      <w:r w:rsidR="008D3B10" w:rsidRPr="008D3B10">
        <w:rPr>
          <w:bCs/>
          <w:lang w:val="fr-FR"/>
        </w:rPr>
        <w:t>»</w:t>
      </w:r>
      <w:r w:rsidRPr="00EA273F">
        <w:t xml:space="preserve"> fournit des mises à jour hebdomadaires sur les </w:t>
      </w:r>
      <w:r w:rsidRPr="00EA273F">
        <w:rPr>
          <w:bCs/>
        </w:rPr>
        <w:t>refus d'entrée, les demandes</w:t>
      </w:r>
      <w:r w:rsidR="008D3B10">
        <w:rPr>
          <w:bCs/>
        </w:rPr>
        <w:t xml:space="preserve"> d'asile, les </w:t>
      </w:r>
      <w:r w:rsidR="008D3B10" w:rsidRPr="008D3B10">
        <w:rPr>
          <w:bCs/>
          <w:lang w:val="fr-FR"/>
        </w:rPr>
        <w:t>«</w:t>
      </w:r>
      <w:r w:rsidR="008D3B10">
        <w:rPr>
          <w:bCs/>
          <w:lang w:val="fr-FR"/>
        </w:rPr>
        <w:t xml:space="preserve"> s</w:t>
      </w:r>
      <w:r w:rsidR="008D3B10">
        <w:rPr>
          <w:bCs/>
        </w:rPr>
        <w:t>éjours illégaux</w:t>
      </w:r>
      <w:r w:rsidR="008D3B10" w:rsidRPr="008D3B10">
        <w:rPr>
          <w:bCs/>
          <w:lang w:val="fr-FR"/>
        </w:rPr>
        <w:t>»</w:t>
      </w:r>
      <w:r w:rsidRPr="00EA273F">
        <w:t>, et d'autres données pertinentes.</w:t>
      </w:r>
    </w:p>
    <w:p w14:paraId="61FF5B38" w14:textId="77777777" w:rsidR="00D66134" w:rsidRDefault="00D66134">
      <w:pPr>
        <w:pStyle w:val="ListParagraph"/>
        <w:spacing w:line="249" w:lineRule="auto"/>
        <w:sectPr w:rsidR="00D66134">
          <w:pgSz w:w="11910" w:h="16840"/>
          <w:pgMar w:top="1320" w:right="1275" w:bottom="1960" w:left="1275" w:header="0" w:footer="1766" w:gutter="0"/>
          <w:cols w:space="720"/>
        </w:sectPr>
      </w:pPr>
    </w:p>
    <w:p w14:paraId="1C5B52A8" w14:textId="354EE798" w:rsidR="00D66134" w:rsidRDefault="008D3B10">
      <w:pPr>
        <w:pStyle w:val="ListParagraph"/>
        <w:numPr>
          <w:ilvl w:val="1"/>
          <w:numId w:val="1"/>
        </w:numPr>
        <w:tabs>
          <w:tab w:val="left" w:pos="1578"/>
          <w:tab w:val="left" w:pos="1580"/>
        </w:tabs>
        <w:spacing w:before="80" w:line="249" w:lineRule="auto"/>
        <w:ind w:left="1580" w:right="263"/>
      </w:pPr>
      <w:r>
        <w:t xml:space="preserve">Il contient </w:t>
      </w:r>
      <w:r w:rsidR="00B56B8E">
        <w:t>des</w:t>
      </w:r>
      <w:r>
        <w:t xml:space="preserve"> statistiques sur le nombre de demandeurs d’asile par nationalité et </w:t>
      </w:r>
      <w:r w:rsidR="00200C3E">
        <w:t>les aéroports</w:t>
      </w:r>
      <w:r w:rsidR="00B56B8E">
        <w:t xml:space="preserve"> de l'UE, </w:t>
      </w:r>
      <w:r>
        <w:t xml:space="preserve">où ils ont </w:t>
      </w:r>
      <w:r w:rsidR="00200C3E">
        <w:t>déposé leur</w:t>
      </w:r>
      <w:r>
        <w:t xml:space="preserve"> demande et présente les </w:t>
      </w:r>
      <w:r w:rsidR="00B56B8E">
        <w:t>demandeu</w:t>
      </w:r>
      <w:r w:rsidR="00200C3E">
        <w:t xml:space="preserve">rs d'asile comme un </w:t>
      </w:r>
      <w:r w:rsidR="00200C3E" w:rsidRPr="008D3B10">
        <w:rPr>
          <w:bCs/>
          <w:lang w:val="fr-FR"/>
        </w:rPr>
        <w:t>«</w:t>
      </w:r>
      <w:r w:rsidR="00200C3E">
        <w:t>risque» nécessitant</w:t>
      </w:r>
      <w:r w:rsidR="00B56B8E">
        <w:t xml:space="preserve"> une analyse et une intervention.</w:t>
      </w:r>
    </w:p>
    <w:p w14:paraId="767EAC4D" w14:textId="1ECC24DF" w:rsidR="00D66134" w:rsidRDefault="00D742EA">
      <w:pPr>
        <w:pStyle w:val="ListParagraph"/>
        <w:numPr>
          <w:ilvl w:val="0"/>
          <w:numId w:val="1"/>
        </w:numPr>
        <w:tabs>
          <w:tab w:val="left" w:pos="860"/>
        </w:tabs>
        <w:spacing w:before="23"/>
        <w:ind w:left="860" w:hanging="360"/>
        <w:rPr>
          <w:rFonts w:ascii="Calibri" w:hAnsi="Calibri"/>
        </w:rPr>
      </w:pPr>
      <w:r>
        <w:t>De:</w:t>
      </w:r>
      <w:r w:rsidR="00B56B8E">
        <w:rPr>
          <w:spacing w:val="-2"/>
        </w:rPr>
        <w:t xml:space="preserve"> Frontex</w:t>
      </w:r>
    </w:p>
    <w:p w14:paraId="74A50BCB" w14:textId="77777777" w:rsidR="00D66134" w:rsidRDefault="00B56B8E">
      <w:pPr>
        <w:pStyle w:val="ListParagraph"/>
        <w:numPr>
          <w:ilvl w:val="0"/>
          <w:numId w:val="1"/>
        </w:numPr>
        <w:tabs>
          <w:tab w:val="left" w:pos="861"/>
        </w:tabs>
        <w:ind w:hanging="360"/>
        <w:rPr>
          <w:rFonts w:ascii="Calibri" w:hAnsi="Calibri"/>
        </w:rPr>
      </w:pPr>
      <w:r>
        <w:t xml:space="preserve">A : </w:t>
      </w:r>
      <w:hyperlink r:id="rId20">
        <w:r>
          <w:rPr>
            <w:color w:val="05037E"/>
            <w:u w:val="single" w:color="05037E"/>
          </w:rPr>
          <w:t>Groupe de travail sur l'intégration, la migration et l'</w:t>
        </w:r>
        <w:r>
          <w:rPr>
            <w:color w:val="05037E"/>
            <w:spacing w:val="-2"/>
            <w:u w:val="single" w:color="05037E"/>
          </w:rPr>
          <w:t>expulsion</w:t>
        </w:r>
      </w:hyperlink>
    </w:p>
    <w:p w14:paraId="7AC25477" w14:textId="71EC4E43" w:rsidR="00D66134" w:rsidRDefault="00B56B8E">
      <w:pPr>
        <w:pStyle w:val="ListParagraph"/>
        <w:numPr>
          <w:ilvl w:val="0"/>
          <w:numId w:val="1"/>
        </w:numPr>
        <w:tabs>
          <w:tab w:val="left" w:pos="861"/>
        </w:tabs>
        <w:spacing w:before="20"/>
        <w:rPr>
          <w:rFonts w:ascii="Calibri" w:hAnsi="Calibri"/>
        </w:rPr>
      </w:pPr>
      <w:r>
        <w:t xml:space="preserve">Date du </w:t>
      </w:r>
      <w:r w:rsidR="00D742EA">
        <w:t>document:</w:t>
      </w:r>
      <w:r>
        <w:t xml:space="preserve"> 29 octobre </w:t>
      </w:r>
      <w:r>
        <w:rPr>
          <w:spacing w:val="-4"/>
        </w:rPr>
        <w:t>2024</w:t>
      </w:r>
    </w:p>
    <w:p w14:paraId="0C2F64D3" w14:textId="3E925C14" w:rsidR="00D66134" w:rsidRDefault="00B56B8E">
      <w:pPr>
        <w:pStyle w:val="ListParagraph"/>
        <w:numPr>
          <w:ilvl w:val="0"/>
          <w:numId w:val="1"/>
        </w:numPr>
        <w:tabs>
          <w:tab w:val="left" w:pos="861"/>
        </w:tabs>
        <w:spacing w:before="17"/>
        <w:ind w:hanging="360"/>
        <w:rPr>
          <w:rFonts w:ascii="Calibri" w:hAnsi="Calibri"/>
        </w:rPr>
      </w:pPr>
      <w:r>
        <w:t xml:space="preserve">Numéro de </w:t>
      </w:r>
      <w:r w:rsidR="00D742EA">
        <w:t>document:</w:t>
      </w:r>
      <w:r>
        <w:t xml:space="preserve"> WK 13482/2024 </w:t>
      </w:r>
      <w:r>
        <w:rPr>
          <w:spacing w:val="-4"/>
        </w:rPr>
        <w:t>INIT</w:t>
      </w:r>
    </w:p>
    <w:p w14:paraId="113BB56B" w14:textId="77777777" w:rsidR="00D66134" w:rsidRDefault="00D66134">
      <w:pPr>
        <w:pStyle w:val="BodyText"/>
        <w:ind w:left="0"/>
      </w:pPr>
    </w:p>
    <w:p w14:paraId="3AAB7747" w14:textId="77777777" w:rsidR="00D66134" w:rsidRDefault="00D66134">
      <w:pPr>
        <w:pStyle w:val="BodyText"/>
        <w:spacing w:before="92"/>
        <w:ind w:left="0"/>
      </w:pPr>
    </w:p>
    <w:p w14:paraId="5F0BBB7A" w14:textId="77777777" w:rsidR="00D66134" w:rsidRDefault="00B56B8E">
      <w:pPr>
        <w:pStyle w:val="BodyText"/>
        <w:spacing w:before="1" w:line="288" w:lineRule="auto"/>
      </w:pPr>
      <w:hyperlink r:id="rId21">
        <w:r>
          <w:rPr>
            <w:color w:val="05037E"/>
            <w:u w:val="single" w:color="05037E"/>
          </w:rPr>
          <w:t xml:space="preserve">Renforcer la capacité opérationnelle de la marine égyptienne et des gardes-frontières pour gérer les </w:t>
        </w:r>
      </w:hyperlink>
      <w:hyperlink r:id="rId22">
        <w:r>
          <w:rPr>
            <w:color w:val="05037E"/>
            <w:u w:val="single" w:color="05037E"/>
          </w:rPr>
          <w:t>flux migratoires et assurer la recherche et le sauvetage en mer.</w:t>
        </w:r>
      </w:hyperlink>
    </w:p>
    <w:p w14:paraId="60242B9B" w14:textId="77777777" w:rsidR="00D66134" w:rsidRDefault="00B56B8E">
      <w:pPr>
        <w:pStyle w:val="ListParagraph"/>
        <w:numPr>
          <w:ilvl w:val="0"/>
          <w:numId w:val="1"/>
        </w:numPr>
        <w:tabs>
          <w:tab w:val="left" w:pos="861"/>
        </w:tabs>
        <w:spacing w:before="133"/>
        <w:rPr>
          <w:rFonts w:ascii="Calibri" w:hAnsi="Calibri"/>
        </w:rPr>
      </w:pPr>
      <w:r>
        <w:rPr>
          <w:spacing w:val="-2"/>
        </w:rPr>
        <w:t xml:space="preserve">Points </w:t>
      </w:r>
      <w:r>
        <w:t>clés</w:t>
      </w:r>
    </w:p>
    <w:p w14:paraId="66A9D5EA" w14:textId="57E966C4" w:rsidR="00D66134" w:rsidRDefault="00200C3E">
      <w:pPr>
        <w:pStyle w:val="ListParagraph"/>
        <w:numPr>
          <w:ilvl w:val="1"/>
          <w:numId w:val="1"/>
        </w:numPr>
        <w:tabs>
          <w:tab w:val="left" w:pos="1579"/>
          <w:tab w:val="left" w:pos="1581"/>
        </w:tabs>
        <w:spacing w:before="8"/>
        <w:ind w:right="1095"/>
      </w:pPr>
      <w:r>
        <w:t xml:space="preserve">Vise à </w:t>
      </w:r>
      <w:r w:rsidRPr="008D3B10">
        <w:rPr>
          <w:bCs/>
          <w:lang w:val="fr-FR"/>
        </w:rPr>
        <w:t>«</w:t>
      </w:r>
      <w:r w:rsidR="00B56B8E">
        <w:t>prévenir les traversées irrégulières par les Égyptiens et les migrants d'autres nationalités</w:t>
      </w:r>
      <w:r>
        <w:t xml:space="preserve"> vivant ou transitant en Égypte»</w:t>
      </w:r>
      <w:r w:rsidR="00B56B8E">
        <w:t>.</w:t>
      </w:r>
    </w:p>
    <w:p w14:paraId="1C804E79" w14:textId="0E144754" w:rsidR="00D66134" w:rsidRDefault="00200C3E">
      <w:pPr>
        <w:pStyle w:val="ListParagraph"/>
        <w:numPr>
          <w:ilvl w:val="1"/>
          <w:numId w:val="1"/>
        </w:numPr>
        <w:tabs>
          <w:tab w:val="left" w:pos="1579"/>
          <w:tab w:val="left" w:pos="1581"/>
        </w:tabs>
        <w:spacing w:before="22"/>
        <w:ind w:right="581"/>
      </w:pPr>
      <w:r>
        <w:t xml:space="preserve">Les </w:t>
      </w:r>
      <w:r w:rsidRPr="008D3B10">
        <w:rPr>
          <w:bCs/>
          <w:lang w:val="fr-FR"/>
        </w:rPr>
        <w:t>«</w:t>
      </w:r>
      <w:r w:rsidR="00B56B8E">
        <w:t>p</w:t>
      </w:r>
      <w:r>
        <w:t>arties prenantes»</w:t>
      </w:r>
      <w:r w:rsidR="00B56B8E">
        <w:t xml:space="preserve"> du projet comprennent le ministère égyptien de la défense et d'autres personnes dont les noms sont censurés.</w:t>
      </w:r>
    </w:p>
    <w:p w14:paraId="014F30FB" w14:textId="5FE91E22" w:rsidR="00D66134" w:rsidRDefault="00200C3E">
      <w:pPr>
        <w:pStyle w:val="ListParagraph"/>
        <w:numPr>
          <w:ilvl w:val="0"/>
          <w:numId w:val="1"/>
        </w:numPr>
        <w:tabs>
          <w:tab w:val="left" w:pos="861"/>
        </w:tabs>
        <w:spacing w:before="31"/>
        <w:rPr>
          <w:rFonts w:ascii="Calibri" w:hAnsi="Calibri"/>
        </w:rPr>
      </w:pPr>
      <w:r>
        <w:t>De:</w:t>
      </w:r>
      <w:r w:rsidR="00B56B8E">
        <w:rPr>
          <w:spacing w:val="-2"/>
        </w:rPr>
        <w:t xml:space="preserve"> Inconnu</w:t>
      </w:r>
    </w:p>
    <w:p w14:paraId="5616C96D" w14:textId="77777777" w:rsidR="00D66134" w:rsidRDefault="00B56B8E">
      <w:pPr>
        <w:pStyle w:val="ListParagraph"/>
        <w:numPr>
          <w:ilvl w:val="0"/>
          <w:numId w:val="1"/>
        </w:numPr>
        <w:tabs>
          <w:tab w:val="left" w:pos="861"/>
        </w:tabs>
        <w:ind w:hanging="360"/>
        <w:rPr>
          <w:rFonts w:ascii="Calibri" w:hAnsi="Calibri"/>
        </w:rPr>
      </w:pPr>
      <w:r>
        <w:t xml:space="preserve">A : </w:t>
      </w:r>
      <w:hyperlink r:id="rId23">
        <w:r>
          <w:rPr>
            <w:color w:val="05037E"/>
            <w:u w:val="single" w:color="05037E"/>
          </w:rPr>
          <w:t xml:space="preserve">Groupe de coordination sur les </w:t>
        </w:r>
        <w:r>
          <w:rPr>
            <w:color w:val="05037E"/>
            <w:spacing w:val="-2"/>
            <w:u w:val="single" w:color="05037E"/>
          </w:rPr>
          <w:t>migrations</w:t>
        </w:r>
      </w:hyperlink>
    </w:p>
    <w:p w14:paraId="433A35F0" w14:textId="2815B87F" w:rsidR="00D66134" w:rsidRDefault="00B56B8E">
      <w:pPr>
        <w:pStyle w:val="ListParagraph"/>
        <w:numPr>
          <w:ilvl w:val="0"/>
          <w:numId w:val="1"/>
        </w:numPr>
        <w:tabs>
          <w:tab w:val="left" w:pos="861"/>
        </w:tabs>
        <w:spacing w:before="20"/>
        <w:rPr>
          <w:rFonts w:ascii="Calibri" w:hAnsi="Calibri"/>
        </w:rPr>
      </w:pPr>
      <w:r>
        <w:t xml:space="preserve">Date du </w:t>
      </w:r>
      <w:r w:rsidR="00200C3E">
        <w:t>document:</w:t>
      </w:r>
      <w:r>
        <w:t xml:space="preserve"> non daté, publié le 30 octobre </w:t>
      </w:r>
      <w:r>
        <w:rPr>
          <w:spacing w:val="-4"/>
        </w:rPr>
        <w:t>2024</w:t>
      </w:r>
    </w:p>
    <w:p w14:paraId="2B34073D" w14:textId="77777777" w:rsidR="00D66134" w:rsidRDefault="00D66134">
      <w:pPr>
        <w:pStyle w:val="BodyText"/>
        <w:ind w:left="0"/>
      </w:pPr>
    </w:p>
    <w:p w14:paraId="06067AD7" w14:textId="77777777" w:rsidR="00D66134" w:rsidRDefault="00D66134">
      <w:pPr>
        <w:pStyle w:val="BodyText"/>
        <w:spacing w:before="92"/>
        <w:ind w:left="0"/>
      </w:pPr>
    </w:p>
    <w:p w14:paraId="41A34F1D" w14:textId="77777777" w:rsidR="00D66134" w:rsidRDefault="00B56B8E">
      <w:pPr>
        <w:pStyle w:val="BodyText"/>
        <w:spacing w:before="1" w:line="288" w:lineRule="auto"/>
        <w:ind w:right="275"/>
      </w:pPr>
      <w:hyperlink r:id="rId24">
        <w:r>
          <w:rPr>
            <w:color w:val="05037E"/>
            <w:u w:val="single" w:color="05037E"/>
          </w:rPr>
          <w:t xml:space="preserve">Renforcer la coopération internationale contre le trafic de migrants et la traite des </w:t>
        </w:r>
      </w:hyperlink>
      <w:hyperlink r:id="rId25">
        <w:r>
          <w:rPr>
            <w:color w:val="05037E"/>
            <w:u w:val="single" w:color="05037E"/>
          </w:rPr>
          <w:t xml:space="preserve">êtres </w:t>
        </w:r>
      </w:hyperlink>
      <w:hyperlink r:id="rId26">
        <w:r>
          <w:rPr>
            <w:color w:val="05037E"/>
            <w:u w:val="single" w:color="05037E"/>
          </w:rPr>
          <w:t xml:space="preserve">humains </w:t>
        </w:r>
      </w:hyperlink>
      <w:hyperlink r:id="rId27">
        <w:r>
          <w:rPr>
            <w:color w:val="05037E"/>
            <w:u w:val="single" w:color="05037E"/>
          </w:rPr>
          <w:t>en Afrique du Nord</w:t>
        </w:r>
      </w:hyperlink>
    </w:p>
    <w:p w14:paraId="311EF08A" w14:textId="77777777" w:rsidR="00D66134" w:rsidRDefault="00B56B8E">
      <w:pPr>
        <w:pStyle w:val="ListParagraph"/>
        <w:numPr>
          <w:ilvl w:val="0"/>
          <w:numId w:val="1"/>
        </w:numPr>
        <w:tabs>
          <w:tab w:val="left" w:pos="861"/>
        </w:tabs>
        <w:spacing w:before="133"/>
        <w:rPr>
          <w:rFonts w:ascii="Calibri" w:hAnsi="Calibri"/>
        </w:rPr>
      </w:pPr>
      <w:r>
        <w:rPr>
          <w:spacing w:val="-2"/>
        </w:rPr>
        <w:t xml:space="preserve">Points </w:t>
      </w:r>
      <w:r>
        <w:t>clés</w:t>
      </w:r>
    </w:p>
    <w:p w14:paraId="0AFEB248" w14:textId="46ABD5FA" w:rsidR="00D66134" w:rsidRDefault="00200C3E">
      <w:pPr>
        <w:pStyle w:val="ListParagraph"/>
        <w:numPr>
          <w:ilvl w:val="1"/>
          <w:numId w:val="1"/>
        </w:numPr>
        <w:tabs>
          <w:tab w:val="left" w:pos="1579"/>
          <w:tab w:val="left" w:pos="1581"/>
        </w:tabs>
        <w:spacing w:before="8" w:line="252" w:lineRule="auto"/>
        <w:ind w:right="519"/>
      </w:pPr>
      <w:r>
        <w:t xml:space="preserve">Un projet qui vise à </w:t>
      </w:r>
      <w:r w:rsidRPr="008D3B10">
        <w:rPr>
          <w:bCs/>
          <w:lang w:val="fr-FR"/>
        </w:rPr>
        <w:t>«</w:t>
      </w:r>
      <w:r>
        <w:rPr>
          <w:bCs/>
          <w:lang w:val="fr-FR"/>
        </w:rPr>
        <w:t xml:space="preserve"> </w:t>
      </w:r>
      <w:r w:rsidR="00B56B8E">
        <w:t xml:space="preserve">renforcer la capacité des forces de l'ordre en Afrique du Nord à enquêter efficacement et à poursuivre les groupes criminels organisés qui se livrent au trafic de migrants et, le cas échéant, à la traite des </w:t>
      </w:r>
      <w:r>
        <w:rPr>
          <w:spacing w:val="-2"/>
        </w:rPr>
        <w:t xml:space="preserve">êtres humains </w:t>
      </w:r>
      <w:r>
        <w:t>»</w:t>
      </w:r>
      <w:r w:rsidR="00B56B8E">
        <w:rPr>
          <w:spacing w:val="-2"/>
        </w:rPr>
        <w:t>.</w:t>
      </w:r>
    </w:p>
    <w:p w14:paraId="680A26F5" w14:textId="7E20C40E" w:rsidR="00D66134" w:rsidRDefault="00B56B8E">
      <w:pPr>
        <w:pStyle w:val="ListParagraph"/>
        <w:numPr>
          <w:ilvl w:val="1"/>
          <w:numId w:val="1"/>
        </w:numPr>
        <w:tabs>
          <w:tab w:val="left" w:pos="1579"/>
          <w:tab w:val="left" w:pos="1581"/>
        </w:tabs>
        <w:spacing w:before="10" w:line="249" w:lineRule="auto"/>
        <w:ind w:right="336"/>
      </w:pPr>
      <w:r>
        <w:t>Cela se fera en augmentant la c</w:t>
      </w:r>
      <w:r w:rsidR="00200C3E">
        <w:t xml:space="preserve">apacité des forces de police à </w:t>
      </w:r>
      <w:r w:rsidR="00200C3E" w:rsidRPr="00200C3E">
        <w:rPr>
          <w:bCs/>
          <w:lang w:val="fr-FR"/>
        </w:rPr>
        <w:t>«</w:t>
      </w:r>
      <w:r w:rsidR="00200C3E">
        <w:t xml:space="preserve"> </w:t>
      </w:r>
      <w:r>
        <w:t>gérer, partager, analyser et utili</w:t>
      </w:r>
      <w:r w:rsidR="00200C3E">
        <w:t xml:space="preserve">ser les informations policières » et à </w:t>
      </w:r>
      <w:r w:rsidR="00200C3E" w:rsidRPr="00200C3E">
        <w:rPr>
          <w:bCs/>
          <w:lang w:val="fr-FR"/>
        </w:rPr>
        <w:t>«</w:t>
      </w:r>
      <w:r w:rsidR="00200C3E">
        <w:rPr>
          <w:bCs/>
          <w:lang w:val="fr-FR"/>
        </w:rPr>
        <w:t xml:space="preserve"> </w:t>
      </w:r>
      <w:r>
        <w:t xml:space="preserve">mener des opérations policières ciblées et </w:t>
      </w:r>
      <w:r w:rsidR="00200C3E">
        <w:t xml:space="preserve">cooperatives </w:t>
      </w:r>
      <w:r w:rsidR="00200C3E" w:rsidRPr="00200C3E">
        <w:t>»</w:t>
      </w:r>
    </w:p>
    <w:p w14:paraId="688564AF" w14:textId="77777777" w:rsidR="00D66134" w:rsidRDefault="00B56B8E">
      <w:pPr>
        <w:pStyle w:val="ListParagraph"/>
        <w:numPr>
          <w:ilvl w:val="1"/>
          <w:numId w:val="1"/>
        </w:numPr>
        <w:tabs>
          <w:tab w:val="left" w:pos="1579"/>
          <w:tab w:val="left" w:pos="1581"/>
        </w:tabs>
        <w:spacing w:before="10"/>
        <w:ind w:right="530"/>
      </w:pPr>
      <w:r>
        <w:t>Le projet prévoit une éventuelle coopération avec Interpol et les agences de l'UE chargées de la justice et des affaires intérieures.</w:t>
      </w:r>
    </w:p>
    <w:p w14:paraId="60748C0D" w14:textId="042658F6" w:rsidR="00D66134" w:rsidRDefault="00200C3E">
      <w:pPr>
        <w:pStyle w:val="ListParagraph"/>
        <w:numPr>
          <w:ilvl w:val="0"/>
          <w:numId w:val="1"/>
        </w:numPr>
        <w:tabs>
          <w:tab w:val="left" w:pos="861"/>
        </w:tabs>
        <w:spacing w:before="33"/>
        <w:ind w:hanging="360"/>
        <w:rPr>
          <w:rFonts w:ascii="Calibri" w:hAnsi="Calibri"/>
        </w:rPr>
      </w:pPr>
      <w:r>
        <w:t>De:</w:t>
      </w:r>
      <w:r w:rsidR="00B56B8E">
        <w:rPr>
          <w:spacing w:val="-2"/>
        </w:rPr>
        <w:t xml:space="preserve"> Inconnu</w:t>
      </w:r>
    </w:p>
    <w:p w14:paraId="722DBFF0" w14:textId="77777777" w:rsidR="00D66134" w:rsidRDefault="00B56B8E">
      <w:pPr>
        <w:pStyle w:val="ListParagraph"/>
        <w:numPr>
          <w:ilvl w:val="0"/>
          <w:numId w:val="1"/>
        </w:numPr>
        <w:tabs>
          <w:tab w:val="left" w:pos="861"/>
        </w:tabs>
        <w:ind w:hanging="360"/>
        <w:rPr>
          <w:rFonts w:ascii="Calibri" w:hAnsi="Calibri"/>
        </w:rPr>
      </w:pPr>
      <w:r>
        <w:t xml:space="preserve">A : </w:t>
      </w:r>
      <w:hyperlink r:id="rId28">
        <w:r>
          <w:rPr>
            <w:color w:val="05037E"/>
            <w:u w:val="single" w:color="05037E"/>
          </w:rPr>
          <w:t xml:space="preserve">Groupe de coordination sur les </w:t>
        </w:r>
        <w:r>
          <w:rPr>
            <w:color w:val="05037E"/>
            <w:spacing w:val="-2"/>
            <w:u w:val="single" w:color="05037E"/>
          </w:rPr>
          <w:t>migrations</w:t>
        </w:r>
      </w:hyperlink>
    </w:p>
    <w:p w14:paraId="602945A2" w14:textId="1BE95417" w:rsidR="00D66134" w:rsidRDefault="00B56B8E">
      <w:pPr>
        <w:pStyle w:val="ListParagraph"/>
        <w:numPr>
          <w:ilvl w:val="0"/>
          <w:numId w:val="1"/>
        </w:numPr>
        <w:tabs>
          <w:tab w:val="left" w:pos="861"/>
        </w:tabs>
        <w:spacing w:before="20"/>
        <w:rPr>
          <w:rFonts w:ascii="Calibri" w:hAnsi="Calibri"/>
        </w:rPr>
      </w:pPr>
      <w:r>
        <w:t xml:space="preserve">Date du </w:t>
      </w:r>
      <w:r w:rsidR="00200C3E">
        <w:t>document:</w:t>
      </w:r>
      <w:r>
        <w:t xml:space="preserve"> non daté, publié le 30 octobre </w:t>
      </w:r>
      <w:r>
        <w:rPr>
          <w:spacing w:val="-4"/>
        </w:rPr>
        <w:t>2024</w:t>
      </w:r>
    </w:p>
    <w:p w14:paraId="2A6143FA" w14:textId="77777777" w:rsidR="00D66134" w:rsidRDefault="00D66134">
      <w:pPr>
        <w:pStyle w:val="BodyText"/>
        <w:ind w:left="0"/>
      </w:pPr>
    </w:p>
    <w:p w14:paraId="7079856A" w14:textId="77777777" w:rsidR="00D66134" w:rsidRDefault="00D66134">
      <w:pPr>
        <w:pStyle w:val="BodyText"/>
        <w:spacing w:before="83"/>
        <w:ind w:left="0"/>
      </w:pPr>
    </w:p>
    <w:p w14:paraId="01002B2C" w14:textId="77777777" w:rsidR="00D66134" w:rsidRDefault="00B56B8E">
      <w:pPr>
        <w:pStyle w:val="BodyText"/>
        <w:spacing w:line="285" w:lineRule="auto"/>
      </w:pPr>
      <w:r>
        <w:t xml:space="preserve">Fiche de projet : </w:t>
      </w:r>
      <w:hyperlink r:id="rId29">
        <w:r>
          <w:rPr>
            <w:color w:val="05037E"/>
            <w:u w:val="single" w:color="05037E"/>
          </w:rPr>
          <w:t xml:space="preserve">Appui à la coopération transfrontalière et à la gestion intégrée des frontières en </w:t>
        </w:r>
      </w:hyperlink>
      <w:hyperlink r:id="rId30">
        <w:r>
          <w:rPr>
            <w:color w:val="05037E"/>
            <w:u w:val="single" w:color="05037E"/>
          </w:rPr>
          <w:t>Afrique du Nord</w:t>
        </w:r>
      </w:hyperlink>
    </w:p>
    <w:p w14:paraId="7E84ED9B" w14:textId="42E6303E" w:rsidR="00D66134" w:rsidRDefault="00B56B8E">
      <w:pPr>
        <w:pStyle w:val="ListParagraph"/>
        <w:numPr>
          <w:ilvl w:val="0"/>
          <w:numId w:val="1"/>
        </w:numPr>
        <w:tabs>
          <w:tab w:val="left" w:pos="861"/>
        </w:tabs>
        <w:spacing w:before="139"/>
        <w:rPr>
          <w:rFonts w:ascii="Calibri" w:hAnsi="Calibri"/>
        </w:rPr>
      </w:pPr>
      <w:r>
        <w:rPr>
          <w:spacing w:val="-2"/>
        </w:rPr>
        <w:t xml:space="preserve">Points </w:t>
      </w:r>
      <w:r>
        <w:t>clés</w:t>
      </w:r>
      <w:r w:rsidR="00F757FD">
        <w:t>:</w:t>
      </w:r>
    </w:p>
    <w:p w14:paraId="4C9C3D1C" w14:textId="0225BFCC" w:rsidR="00D66134" w:rsidRDefault="00B56B8E">
      <w:pPr>
        <w:pStyle w:val="ListParagraph"/>
        <w:numPr>
          <w:ilvl w:val="1"/>
          <w:numId w:val="1"/>
        </w:numPr>
        <w:tabs>
          <w:tab w:val="left" w:pos="1579"/>
          <w:tab w:val="left" w:pos="1581"/>
        </w:tabs>
        <w:spacing w:before="8" w:line="249" w:lineRule="auto"/>
        <w:ind w:right="301"/>
      </w:pPr>
      <w:r>
        <w:t>Un projet proposé en Afrique du Nord (aucun lieu plus précis n'est indiq</w:t>
      </w:r>
      <w:r w:rsidR="00200C3E">
        <w:t xml:space="preserve">ué) visant à lutter contre les </w:t>
      </w:r>
      <w:r w:rsidR="00200C3E" w:rsidRPr="00200C3E">
        <w:rPr>
          <w:bCs/>
          <w:lang w:val="fr-FR"/>
        </w:rPr>
        <w:t>«</w:t>
      </w:r>
      <w:r w:rsidR="00200C3E">
        <w:rPr>
          <w:bCs/>
          <w:lang w:val="fr-FR"/>
        </w:rPr>
        <w:t xml:space="preserve"> </w:t>
      </w:r>
      <w:r>
        <w:t>groupes criminels organisés, notamment ceux impliqués dans le trafic de migrants</w:t>
      </w:r>
      <w:r w:rsidR="00200C3E">
        <w:t xml:space="preserve"> et la traite des êtres humains </w:t>
      </w:r>
      <w:r w:rsidR="00200C3E" w:rsidRPr="00200C3E">
        <w:t>»</w:t>
      </w:r>
      <w:r>
        <w:t>.</w:t>
      </w:r>
    </w:p>
    <w:p w14:paraId="20E12C79" w14:textId="77777777" w:rsidR="00D66134" w:rsidRDefault="00B56B8E">
      <w:pPr>
        <w:pStyle w:val="ListParagraph"/>
        <w:numPr>
          <w:ilvl w:val="1"/>
          <w:numId w:val="1"/>
        </w:numPr>
        <w:tabs>
          <w:tab w:val="left" w:pos="1580"/>
        </w:tabs>
        <w:spacing w:before="10"/>
        <w:ind w:left="1580" w:hanging="359"/>
      </w:pPr>
      <w:r>
        <w:t xml:space="preserve">Le budget est </w:t>
      </w:r>
      <w:r>
        <w:rPr>
          <w:spacing w:val="-2"/>
        </w:rPr>
        <w:t>censuré</w:t>
      </w:r>
    </w:p>
    <w:p w14:paraId="7973D480" w14:textId="77777777" w:rsidR="00D66134" w:rsidRDefault="00D66134">
      <w:pPr>
        <w:pStyle w:val="ListParagraph"/>
        <w:sectPr w:rsidR="00D66134">
          <w:pgSz w:w="11910" w:h="16840"/>
          <w:pgMar w:top="1320" w:right="1275" w:bottom="1960" w:left="1275" w:header="0" w:footer="1766" w:gutter="0"/>
          <w:cols w:space="720"/>
        </w:sectPr>
      </w:pPr>
    </w:p>
    <w:p w14:paraId="6BAC3BB1" w14:textId="56BE29F9" w:rsidR="00D66134" w:rsidRDefault="00B56B8E">
      <w:pPr>
        <w:pStyle w:val="ListParagraph"/>
        <w:numPr>
          <w:ilvl w:val="1"/>
          <w:numId w:val="1"/>
        </w:numPr>
        <w:tabs>
          <w:tab w:val="left" w:pos="1578"/>
          <w:tab w:val="left" w:pos="1580"/>
        </w:tabs>
        <w:spacing w:before="80" w:line="249" w:lineRule="auto"/>
        <w:ind w:left="1580" w:right="300"/>
      </w:pPr>
      <w:r>
        <w:t>Le projet s'inscrit</w:t>
      </w:r>
      <w:r w:rsidR="00200C3E">
        <w:t xml:space="preserve"> dans le cadre de l'initiative </w:t>
      </w:r>
      <w:r w:rsidR="00200C3E" w:rsidRPr="00200C3E">
        <w:rPr>
          <w:bCs/>
          <w:lang w:val="fr-FR"/>
        </w:rPr>
        <w:t>«</w:t>
      </w:r>
      <w:r w:rsidR="00200C3E">
        <w:t xml:space="preserve">Team Europe </w:t>
      </w:r>
      <w:r w:rsidR="00200C3E" w:rsidRPr="00200C3E">
        <w:t>»</w:t>
      </w:r>
      <w:r>
        <w:t xml:space="preserve"> sur la route migratoire de la Méditerran</w:t>
      </w:r>
      <w:r w:rsidR="00200C3E">
        <w:t xml:space="preserve">ée centrale et de </w:t>
      </w:r>
      <w:r w:rsidR="00D171F6">
        <w:t xml:space="preserve">l’initiative «Team Europe </w:t>
      </w:r>
      <w:r w:rsidR="00D171F6" w:rsidRPr="00200C3E">
        <w:t>»</w:t>
      </w:r>
      <w:r>
        <w:t xml:space="preserve"> sur la route migratoire de la Méditerranée occidentale et de l'Atlantique.</w:t>
      </w:r>
    </w:p>
    <w:p w14:paraId="497AE59E" w14:textId="04E096BD" w:rsidR="00D66134" w:rsidRDefault="00200C3E">
      <w:pPr>
        <w:pStyle w:val="ListParagraph"/>
        <w:numPr>
          <w:ilvl w:val="0"/>
          <w:numId w:val="1"/>
        </w:numPr>
        <w:tabs>
          <w:tab w:val="left" w:pos="860"/>
        </w:tabs>
        <w:spacing w:before="23"/>
        <w:ind w:left="860" w:hanging="360"/>
        <w:rPr>
          <w:rFonts w:ascii="Calibri" w:hAnsi="Calibri"/>
        </w:rPr>
      </w:pPr>
      <w:r>
        <w:t>De:</w:t>
      </w:r>
      <w:r w:rsidR="00B56B8E">
        <w:rPr>
          <w:spacing w:val="-2"/>
        </w:rPr>
        <w:t xml:space="preserve"> Inconnu</w:t>
      </w:r>
    </w:p>
    <w:p w14:paraId="0AC7C308" w14:textId="77777777" w:rsidR="00D66134" w:rsidRDefault="00B56B8E">
      <w:pPr>
        <w:pStyle w:val="ListParagraph"/>
        <w:numPr>
          <w:ilvl w:val="0"/>
          <w:numId w:val="1"/>
        </w:numPr>
        <w:tabs>
          <w:tab w:val="left" w:pos="860"/>
        </w:tabs>
        <w:ind w:left="860" w:hanging="360"/>
        <w:rPr>
          <w:rFonts w:ascii="Calibri" w:hAnsi="Calibri"/>
        </w:rPr>
      </w:pPr>
      <w:r>
        <w:t xml:space="preserve">A : </w:t>
      </w:r>
      <w:hyperlink r:id="rId31">
        <w:r>
          <w:rPr>
            <w:color w:val="05037E"/>
            <w:u w:val="single" w:color="05037E"/>
          </w:rPr>
          <w:t xml:space="preserve">Groupe de coordination sur les </w:t>
        </w:r>
        <w:r>
          <w:rPr>
            <w:color w:val="05037E"/>
            <w:spacing w:val="-2"/>
            <w:u w:val="single" w:color="05037E"/>
          </w:rPr>
          <w:t>migrations</w:t>
        </w:r>
      </w:hyperlink>
    </w:p>
    <w:p w14:paraId="2C91BB36" w14:textId="65B40D20" w:rsidR="00D66134" w:rsidRDefault="00B56B8E">
      <w:pPr>
        <w:pStyle w:val="ListParagraph"/>
        <w:numPr>
          <w:ilvl w:val="0"/>
          <w:numId w:val="1"/>
        </w:numPr>
        <w:tabs>
          <w:tab w:val="left" w:pos="861"/>
        </w:tabs>
        <w:spacing w:before="20"/>
        <w:rPr>
          <w:rFonts w:ascii="Calibri" w:hAnsi="Calibri"/>
        </w:rPr>
      </w:pPr>
      <w:r>
        <w:t xml:space="preserve">Date du </w:t>
      </w:r>
      <w:r w:rsidR="00200C3E">
        <w:t>document:</w:t>
      </w:r>
      <w:r>
        <w:t xml:space="preserve"> non daté, publié le 30 octobre </w:t>
      </w:r>
      <w:r>
        <w:rPr>
          <w:spacing w:val="-4"/>
        </w:rPr>
        <w:t>2024</w:t>
      </w:r>
    </w:p>
    <w:p w14:paraId="6DC7CE05" w14:textId="77777777" w:rsidR="00D66134" w:rsidRDefault="00D66134">
      <w:pPr>
        <w:pStyle w:val="BodyText"/>
        <w:ind w:left="0"/>
      </w:pPr>
    </w:p>
    <w:p w14:paraId="253799FE" w14:textId="77777777" w:rsidR="00D66134" w:rsidRDefault="00D66134">
      <w:pPr>
        <w:pStyle w:val="BodyText"/>
        <w:spacing w:before="83"/>
        <w:ind w:left="0"/>
      </w:pPr>
    </w:p>
    <w:p w14:paraId="611B68A2" w14:textId="0604ACBF" w:rsidR="00D66134" w:rsidRDefault="00D742EA">
      <w:pPr>
        <w:pStyle w:val="BodyText"/>
        <w:spacing w:line="288" w:lineRule="auto"/>
        <w:ind w:right="214"/>
      </w:pPr>
      <w:hyperlink r:id="rId32">
        <w:r>
          <w:rPr>
            <w:color w:val="05037E"/>
            <w:u w:val="single" w:color="05037E"/>
          </w:rPr>
          <w:t xml:space="preserve">Libye et Tunisie, </w:t>
        </w:r>
        <w:r>
          <w:t xml:space="preserve">« </w:t>
        </w:r>
        <w:r w:rsidR="00B56B8E">
          <w:rPr>
            <w:color w:val="05037E"/>
            <w:u w:val="single" w:color="05037E"/>
          </w:rPr>
          <w:t>Soutien de l'UE aux institutions de gestion des frontières en Libye et en Tunisie</w:t>
        </w:r>
        <w:r w:rsidRPr="00200C3E">
          <w:t>»</w:t>
        </w:r>
        <w:r w:rsidR="00B56B8E">
          <w:rPr>
            <w:color w:val="05037E"/>
            <w:u w:val="single" w:color="05037E"/>
          </w:rPr>
          <w:t xml:space="preserve"> </w:t>
        </w:r>
      </w:hyperlink>
      <w:hyperlink r:id="rId33">
        <w:r w:rsidR="00B56B8E">
          <w:rPr>
            <w:color w:val="05037E"/>
            <w:u w:val="single" w:color="05037E"/>
          </w:rPr>
          <w:t>Document d'action</w:t>
        </w:r>
      </w:hyperlink>
    </w:p>
    <w:p w14:paraId="7389F400" w14:textId="6257AFB2" w:rsidR="00D66134" w:rsidRDefault="00B56B8E">
      <w:pPr>
        <w:pStyle w:val="ListParagraph"/>
        <w:numPr>
          <w:ilvl w:val="0"/>
          <w:numId w:val="1"/>
        </w:numPr>
        <w:tabs>
          <w:tab w:val="left" w:pos="861"/>
        </w:tabs>
        <w:spacing w:before="134"/>
        <w:rPr>
          <w:rFonts w:ascii="Calibri" w:hAnsi="Calibri"/>
        </w:rPr>
      </w:pPr>
      <w:r>
        <w:rPr>
          <w:spacing w:val="-2"/>
        </w:rPr>
        <w:t xml:space="preserve">Points </w:t>
      </w:r>
      <w:r>
        <w:t>clés</w:t>
      </w:r>
      <w:r w:rsidR="00F757FD">
        <w:t>:</w:t>
      </w:r>
    </w:p>
    <w:p w14:paraId="0E62AC73" w14:textId="17696AAB" w:rsidR="00D66134" w:rsidRDefault="00F757FD">
      <w:pPr>
        <w:pStyle w:val="ListParagraph"/>
        <w:numPr>
          <w:ilvl w:val="1"/>
          <w:numId w:val="1"/>
        </w:numPr>
        <w:tabs>
          <w:tab w:val="left" w:pos="1579"/>
          <w:tab w:val="left" w:pos="1581"/>
        </w:tabs>
        <w:spacing w:before="8" w:line="252" w:lineRule="auto"/>
        <w:ind w:right="485"/>
      </w:pPr>
      <w:r>
        <w:t>P</w:t>
      </w:r>
      <w:r w:rsidR="00B56B8E">
        <w:t>ropose 45 millions d'euros pour des centres de sauvetage maritime, la surveillance des frontières et la formation des garde-côtes en Libye et en Tunisie, dans le cadre d'un objectif humanitaire de recherche et de sauvetage, malgré l'instabilité polit</w:t>
      </w:r>
      <w:r w:rsidR="00D171F6">
        <w:t xml:space="preserve">ique et le risque potentiel de « </w:t>
      </w:r>
      <w:r w:rsidR="00B56B8E">
        <w:t>c</w:t>
      </w:r>
      <w:r w:rsidR="00D171F6">
        <w:t xml:space="preserve">onditions de sécurité critiques </w:t>
      </w:r>
      <w:r w:rsidR="00D171F6" w:rsidRPr="00200C3E">
        <w:t>»</w:t>
      </w:r>
      <w:r w:rsidR="00B56B8E">
        <w:t xml:space="preserve"> qui entravent le projet</w:t>
      </w:r>
    </w:p>
    <w:p w14:paraId="5872C37E" w14:textId="77777777" w:rsidR="00D171F6" w:rsidRDefault="00D171F6" w:rsidP="00D171F6">
      <w:pPr>
        <w:pStyle w:val="ListParagraph"/>
        <w:tabs>
          <w:tab w:val="left" w:pos="1579"/>
          <w:tab w:val="left" w:pos="1581"/>
        </w:tabs>
        <w:spacing w:before="8" w:line="252" w:lineRule="auto"/>
        <w:ind w:left="1581" w:right="485" w:firstLine="0"/>
      </w:pPr>
    </w:p>
    <w:p w14:paraId="7A7E6269" w14:textId="003ECDFF" w:rsidR="00D66134" w:rsidRDefault="00D171F6">
      <w:pPr>
        <w:pStyle w:val="ListParagraph"/>
        <w:numPr>
          <w:ilvl w:val="1"/>
          <w:numId w:val="1"/>
        </w:numPr>
        <w:tabs>
          <w:tab w:val="left" w:pos="1579"/>
          <w:tab w:val="left" w:pos="1581"/>
        </w:tabs>
        <w:spacing w:before="10" w:line="249" w:lineRule="auto"/>
        <w:ind w:right="449"/>
      </w:pPr>
      <w:r>
        <w:t xml:space="preserve">L'accent est mis sur la « </w:t>
      </w:r>
      <w:r w:rsidR="00B56B8E">
        <w:t xml:space="preserve">prévention des </w:t>
      </w:r>
      <w:r>
        <w:t xml:space="preserve">departs </w:t>
      </w:r>
      <w:r w:rsidRPr="00200C3E">
        <w:t>»</w:t>
      </w:r>
      <w:r w:rsidR="00B56B8E">
        <w:t xml:space="preserve"> et le renforcement des capacités de surveillance par le biais d'un soutien technique et de programmes de formation, 5 millions d'euros étant spécifiquement alloués à l'achèvement du système de surveillance côtière de la Tunisie.</w:t>
      </w:r>
    </w:p>
    <w:p w14:paraId="5D923D8B" w14:textId="04CBF215" w:rsidR="00D66134" w:rsidRDefault="00B56B8E">
      <w:pPr>
        <w:pStyle w:val="ListParagraph"/>
        <w:numPr>
          <w:ilvl w:val="1"/>
          <w:numId w:val="1"/>
        </w:numPr>
        <w:tabs>
          <w:tab w:val="left" w:pos="1579"/>
          <w:tab w:val="left" w:pos="1581"/>
        </w:tabs>
        <w:spacing w:before="9" w:line="252" w:lineRule="auto"/>
        <w:ind w:right="398"/>
      </w:pPr>
      <w:r>
        <w:t>Création d'un centre de coordination des secours maritimes et d'une académie de formation des gardes-frontières en Libye, financement de l'extension des capacités des patrouilles côtières tunisiennes grâce à une académ</w:t>
      </w:r>
      <w:r w:rsidR="00D742EA">
        <w:t>ie de formation, et maintien d'«</w:t>
      </w:r>
      <w:r>
        <w:t>actions complémentaires de ge</w:t>
      </w:r>
      <w:r w:rsidR="00D171F6">
        <w:t xml:space="preserve">stion des frontières terrestres </w:t>
      </w:r>
      <w:r w:rsidR="00D171F6" w:rsidRPr="00200C3E">
        <w:t>»</w:t>
      </w:r>
      <w:r>
        <w:t>.</w:t>
      </w:r>
    </w:p>
    <w:p w14:paraId="4E4FF0CF" w14:textId="50E80F57" w:rsidR="00D66134" w:rsidRDefault="00B56B8E">
      <w:pPr>
        <w:pStyle w:val="ListParagraph"/>
        <w:numPr>
          <w:ilvl w:val="0"/>
          <w:numId w:val="1"/>
        </w:numPr>
        <w:tabs>
          <w:tab w:val="left" w:pos="861"/>
        </w:tabs>
        <w:spacing w:before="21"/>
        <w:ind w:hanging="360"/>
        <w:rPr>
          <w:rFonts w:ascii="Calibri" w:hAnsi="Calibri"/>
        </w:rPr>
      </w:pPr>
      <w:r>
        <w:t>De/</w:t>
      </w:r>
      <w:r w:rsidR="00962EA2">
        <w:t>auteur:</w:t>
      </w:r>
      <w:r>
        <w:t xml:space="preserve"> </w:t>
      </w:r>
      <w:r>
        <w:rPr>
          <w:spacing w:val="-2"/>
        </w:rPr>
        <w:t xml:space="preserve">Services de </w:t>
      </w:r>
      <w:r>
        <w:t>la Commission</w:t>
      </w:r>
    </w:p>
    <w:p w14:paraId="6BD623F1" w14:textId="77777777" w:rsidR="00D66134" w:rsidRDefault="00B56B8E">
      <w:pPr>
        <w:pStyle w:val="ListParagraph"/>
        <w:numPr>
          <w:ilvl w:val="0"/>
          <w:numId w:val="1"/>
        </w:numPr>
        <w:tabs>
          <w:tab w:val="left" w:pos="861"/>
        </w:tabs>
        <w:spacing w:before="20"/>
        <w:ind w:hanging="360"/>
        <w:rPr>
          <w:rFonts w:ascii="Calibri" w:hAnsi="Calibri"/>
        </w:rPr>
      </w:pPr>
      <w:r>
        <w:t xml:space="preserve">A : </w:t>
      </w:r>
      <w:hyperlink r:id="rId34">
        <w:r>
          <w:rPr>
            <w:color w:val="05037E"/>
            <w:u w:val="single" w:color="05037E"/>
          </w:rPr>
          <w:t xml:space="preserve">Groupe de coordination sur les </w:t>
        </w:r>
        <w:r>
          <w:rPr>
            <w:color w:val="05037E"/>
            <w:spacing w:val="-2"/>
            <w:u w:val="single" w:color="05037E"/>
          </w:rPr>
          <w:t>migrations</w:t>
        </w:r>
      </w:hyperlink>
    </w:p>
    <w:p w14:paraId="112DC03A" w14:textId="6CD85E6A" w:rsidR="00D66134" w:rsidRDefault="00B56B8E">
      <w:pPr>
        <w:pStyle w:val="ListParagraph"/>
        <w:numPr>
          <w:ilvl w:val="0"/>
          <w:numId w:val="1"/>
        </w:numPr>
        <w:tabs>
          <w:tab w:val="left" w:pos="861"/>
        </w:tabs>
        <w:spacing w:before="20"/>
        <w:rPr>
          <w:rFonts w:ascii="Calibri" w:hAnsi="Calibri"/>
        </w:rPr>
      </w:pPr>
      <w:r>
        <w:t xml:space="preserve">Date du </w:t>
      </w:r>
      <w:r w:rsidR="00962EA2">
        <w:t>document:</w:t>
      </w:r>
      <w:r>
        <w:t xml:space="preserve"> 5 juillet </w:t>
      </w:r>
      <w:r>
        <w:rPr>
          <w:spacing w:val="-4"/>
        </w:rPr>
        <w:t>2021</w:t>
      </w:r>
    </w:p>
    <w:p w14:paraId="2334254C" w14:textId="77777777" w:rsidR="00D66134" w:rsidRDefault="00D66134">
      <w:pPr>
        <w:pStyle w:val="BodyText"/>
        <w:ind w:left="0"/>
      </w:pPr>
    </w:p>
    <w:p w14:paraId="22879F3D" w14:textId="77777777" w:rsidR="00D66134" w:rsidRDefault="00D66134">
      <w:pPr>
        <w:pStyle w:val="BodyText"/>
        <w:ind w:left="0"/>
      </w:pPr>
    </w:p>
    <w:p w14:paraId="47F4BDB4" w14:textId="77777777" w:rsidR="00D66134" w:rsidRDefault="00D66134">
      <w:pPr>
        <w:pStyle w:val="BodyText"/>
        <w:spacing w:before="39"/>
        <w:ind w:left="0"/>
      </w:pPr>
    </w:p>
    <w:p w14:paraId="131E745E" w14:textId="77777777" w:rsidR="00D66134" w:rsidRDefault="00B56B8E">
      <w:pPr>
        <w:pStyle w:val="Heading2"/>
        <w:spacing w:before="1"/>
      </w:pPr>
      <w:bookmarkStart w:id="6" w:name="Budgets_and_funding"/>
      <w:bookmarkStart w:id="7" w:name="_bookmark3"/>
      <w:bookmarkEnd w:id="6"/>
      <w:bookmarkEnd w:id="7"/>
      <w:r>
        <w:t xml:space="preserve">Budgets et </w:t>
      </w:r>
      <w:r>
        <w:rPr>
          <w:spacing w:val="-2"/>
        </w:rPr>
        <w:t>financement</w:t>
      </w:r>
    </w:p>
    <w:p w14:paraId="1262E2B0" w14:textId="77777777" w:rsidR="00D66134" w:rsidRDefault="00B56B8E">
      <w:pPr>
        <w:pStyle w:val="BodyText"/>
        <w:spacing w:before="180" w:line="288" w:lineRule="auto"/>
      </w:pPr>
      <w:hyperlink r:id="rId35">
        <w:r>
          <w:rPr>
            <w:color w:val="05037E"/>
            <w:u w:val="single" w:color="05037E"/>
          </w:rPr>
          <w:t xml:space="preserve">Liste des projets présentés par les services de la Commission (FPI, INTPA et NEAR) au </w:t>
        </w:r>
      </w:hyperlink>
      <w:hyperlink r:id="rId36">
        <w:r>
          <w:rPr>
            <w:color w:val="05037E"/>
            <w:u w:val="single" w:color="05037E"/>
          </w:rPr>
          <w:t xml:space="preserve">Groupe de coordination sur les migrations lors de ses réunions du 3.12.2021, 17.02.2022, 01.04.2022, </w:t>
        </w:r>
      </w:hyperlink>
      <w:hyperlink r:id="rId37">
        <w:r>
          <w:rPr>
            <w:color w:val="05037E"/>
            <w:u w:val="single" w:color="05037E"/>
          </w:rPr>
          <w:t>17.06.2022, 19.10.2022, 16.11.2022, 24.11.2022 et 25.01.2023.</w:t>
        </w:r>
      </w:hyperlink>
    </w:p>
    <w:p w14:paraId="769F37AD" w14:textId="3F78A1C2" w:rsidR="00D66134" w:rsidRDefault="00B56B8E">
      <w:pPr>
        <w:pStyle w:val="ListParagraph"/>
        <w:numPr>
          <w:ilvl w:val="0"/>
          <w:numId w:val="1"/>
        </w:numPr>
        <w:tabs>
          <w:tab w:val="left" w:pos="861"/>
        </w:tabs>
        <w:spacing w:before="132"/>
        <w:rPr>
          <w:rFonts w:ascii="Calibri" w:hAnsi="Calibri"/>
        </w:rPr>
      </w:pPr>
      <w:r>
        <w:rPr>
          <w:spacing w:val="-2"/>
        </w:rPr>
        <w:t xml:space="preserve">Points </w:t>
      </w:r>
      <w:r>
        <w:t>clés</w:t>
      </w:r>
      <w:r w:rsidR="00962EA2">
        <w:t>:</w:t>
      </w:r>
    </w:p>
    <w:p w14:paraId="5527DB76" w14:textId="6AF8D0A1" w:rsidR="00D66134" w:rsidRDefault="00B56B8E">
      <w:pPr>
        <w:pStyle w:val="ListParagraph"/>
        <w:numPr>
          <w:ilvl w:val="1"/>
          <w:numId w:val="1"/>
        </w:numPr>
        <w:tabs>
          <w:tab w:val="left" w:pos="1579"/>
          <w:tab w:val="left" w:pos="1581"/>
        </w:tabs>
        <w:spacing w:before="8" w:line="249" w:lineRule="auto"/>
        <w:ind w:right="188"/>
      </w:pPr>
      <w:r>
        <w:t xml:space="preserve">Une liste de projets utilisant l'aide au développement pour atteindre les objectifs de la politique migratoire, répartis par région </w:t>
      </w:r>
      <w:r w:rsidR="00D742EA">
        <w:t>géographique:</w:t>
      </w:r>
      <w:r>
        <w:t xml:space="preserve"> Amériques, Asie, Afrique subsaharienne, Afrique du Nord, Europe de l'</w:t>
      </w:r>
      <w:r w:rsidR="00D742EA">
        <w:t xml:space="preserve">Est, Méditerranée orientale et  « </w:t>
      </w:r>
      <w:r>
        <w:t>Global</w:t>
      </w:r>
      <w:r w:rsidR="00D742EA">
        <w:t xml:space="preserve"> </w:t>
      </w:r>
      <w:r w:rsidR="00D742EA" w:rsidRPr="00200C3E">
        <w:t>»</w:t>
      </w:r>
      <w:r>
        <w:t>.</w:t>
      </w:r>
    </w:p>
    <w:p w14:paraId="751B2231" w14:textId="19097900" w:rsidR="00D66134" w:rsidRDefault="00D742EA">
      <w:pPr>
        <w:pStyle w:val="ListParagraph"/>
        <w:numPr>
          <w:ilvl w:val="1"/>
          <w:numId w:val="1"/>
        </w:numPr>
        <w:tabs>
          <w:tab w:val="left" w:pos="1580"/>
        </w:tabs>
        <w:spacing w:before="10"/>
        <w:ind w:left="1580" w:hanging="359"/>
      </w:pPr>
      <w:r>
        <w:t xml:space="preserve">Les projets utilisent le « </w:t>
      </w:r>
      <w:r w:rsidR="00B56B8E">
        <w:t>marqueur de migration</w:t>
      </w:r>
      <w:r>
        <w:t xml:space="preserve"> </w:t>
      </w:r>
      <w:r w:rsidRPr="00200C3E">
        <w:t>»</w:t>
      </w:r>
      <w:r w:rsidR="00B56B8E">
        <w:t xml:space="preserve">, qui fait l'objet d'une </w:t>
      </w:r>
      <w:r w:rsidR="00B56B8E">
        <w:rPr>
          <w:spacing w:val="-4"/>
        </w:rPr>
        <w:t xml:space="preserve">note </w:t>
      </w:r>
      <w:r w:rsidR="00B56B8E">
        <w:t>séparée</w:t>
      </w:r>
      <w:r w:rsidR="00B56B8E">
        <w:rPr>
          <w:spacing w:val="-4"/>
        </w:rPr>
        <w:t>.</w:t>
      </w:r>
    </w:p>
    <w:p w14:paraId="2CFBBA52" w14:textId="69105332" w:rsidR="00D66134" w:rsidRDefault="00D742EA">
      <w:pPr>
        <w:pStyle w:val="ListParagraph"/>
        <w:numPr>
          <w:ilvl w:val="1"/>
          <w:numId w:val="1"/>
        </w:numPr>
        <w:tabs>
          <w:tab w:val="left" w:pos="1579"/>
          <w:tab w:val="left" w:pos="1581"/>
        </w:tabs>
        <w:spacing w:before="1"/>
        <w:ind w:right="969"/>
      </w:pPr>
      <w:r>
        <w:t xml:space="preserve">« </w:t>
      </w:r>
      <w:r w:rsidR="00B56B8E">
        <w:t>Il s'agit d'un document vivant, destiné à être pro</w:t>
      </w:r>
      <w:r>
        <w:t>gressivement élargi et amélioré</w:t>
      </w:r>
      <w:r w:rsidRPr="00200C3E">
        <w:t>»</w:t>
      </w:r>
      <w:r w:rsidR="00B56B8E">
        <w:t>, ce qui signifie qu'il pourrait y avoir des versions ultérieures.</w:t>
      </w:r>
    </w:p>
    <w:p w14:paraId="5027B3D4" w14:textId="6B129042" w:rsidR="00D66134" w:rsidRDefault="00B56B8E">
      <w:pPr>
        <w:pStyle w:val="ListParagraph"/>
        <w:numPr>
          <w:ilvl w:val="0"/>
          <w:numId w:val="1"/>
        </w:numPr>
        <w:tabs>
          <w:tab w:val="left" w:pos="861"/>
        </w:tabs>
        <w:spacing w:before="31"/>
        <w:ind w:hanging="360"/>
        <w:rPr>
          <w:rFonts w:ascii="Calibri" w:hAnsi="Calibri"/>
        </w:rPr>
      </w:pPr>
      <w:r>
        <w:t xml:space="preserve">De la part </w:t>
      </w:r>
      <w:r w:rsidR="00D742EA">
        <w:t>de:</w:t>
      </w:r>
      <w:r>
        <w:t xml:space="preserve"> </w:t>
      </w:r>
      <w:r>
        <w:rPr>
          <w:spacing w:val="-2"/>
        </w:rPr>
        <w:t xml:space="preserve">Commission </w:t>
      </w:r>
      <w:r>
        <w:t>européenne</w:t>
      </w:r>
    </w:p>
    <w:p w14:paraId="1E2AB644" w14:textId="77777777" w:rsidR="00D66134" w:rsidRDefault="00B56B8E">
      <w:pPr>
        <w:pStyle w:val="ListParagraph"/>
        <w:numPr>
          <w:ilvl w:val="0"/>
          <w:numId w:val="1"/>
        </w:numPr>
        <w:tabs>
          <w:tab w:val="left" w:pos="861"/>
        </w:tabs>
        <w:ind w:hanging="360"/>
        <w:rPr>
          <w:rFonts w:ascii="Calibri" w:hAnsi="Calibri"/>
        </w:rPr>
      </w:pPr>
      <w:r>
        <w:t xml:space="preserve">A : </w:t>
      </w:r>
      <w:hyperlink r:id="rId38">
        <w:r>
          <w:rPr>
            <w:color w:val="05037E"/>
            <w:u w:val="single" w:color="05037E"/>
          </w:rPr>
          <w:t xml:space="preserve">Groupe de coordination sur les </w:t>
        </w:r>
        <w:r>
          <w:rPr>
            <w:color w:val="05037E"/>
            <w:spacing w:val="-2"/>
            <w:u w:val="single" w:color="05037E"/>
          </w:rPr>
          <w:t>migrations</w:t>
        </w:r>
      </w:hyperlink>
    </w:p>
    <w:p w14:paraId="679F17E8" w14:textId="0B7294F9" w:rsidR="00D66134" w:rsidRDefault="00B56B8E">
      <w:pPr>
        <w:pStyle w:val="ListParagraph"/>
        <w:numPr>
          <w:ilvl w:val="0"/>
          <w:numId w:val="1"/>
        </w:numPr>
        <w:tabs>
          <w:tab w:val="left" w:pos="861"/>
        </w:tabs>
        <w:spacing w:before="20"/>
        <w:rPr>
          <w:rFonts w:ascii="Calibri" w:hAnsi="Calibri"/>
        </w:rPr>
      </w:pPr>
      <w:r>
        <w:t xml:space="preserve">Date du </w:t>
      </w:r>
      <w:r w:rsidR="00D742EA">
        <w:t>document:</w:t>
      </w:r>
      <w:r>
        <w:t xml:space="preserve"> non daté, publié le 30 octobre </w:t>
      </w:r>
      <w:r>
        <w:rPr>
          <w:spacing w:val="-4"/>
        </w:rPr>
        <w:t>2024</w:t>
      </w:r>
    </w:p>
    <w:p w14:paraId="5D650AE0" w14:textId="77777777" w:rsidR="00D66134" w:rsidRDefault="00D66134">
      <w:pPr>
        <w:pStyle w:val="ListParagraph"/>
        <w:rPr>
          <w:rFonts w:ascii="Calibri" w:hAnsi="Calibri"/>
        </w:rPr>
        <w:sectPr w:rsidR="00D66134">
          <w:pgSz w:w="11910" w:h="16840"/>
          <w:pgMar w:top="1320" w:right="1275" w:bottom="1960" w:left="1275" w:header="0" w:footer="1766" w:gutter="0"/>
          <w:cols w:space="720"/>
        </w:sectPr>
      </w:pPr>
    </w:p>
    <w:p w14:paraId="085F2D49" w14:textId="77777777" w:rsidR="00D66134" w:rsidRDefault="00B56B8E">
      <w:pPr>
        <w:pStyle w:val="BodyText"/>
        <w:spacing w:before="77" w:line="288" w:lineRule="auto"/>
        <w:ind w:right="275"/>
      </w:pPr>
      <w:hyperlink r:id="rId39">
        <w:r>
          <w:rPr>
            <w:color w:val="05037E"/>
            <w:u w:val="single" w:color="05037E"/>
          </w:rPr>
          <w:t xml:space="preserve">Note à l'attention des cadres supérieurs et des chefs de </w:t>
        </w:r>
      </w:hyperlink>
      <w:hyperlink r:id="rId40">
        <w:r>
          <w:rPr>
            <w:color w:val="05037E"/>
            <w:u w:val="single" w:color="05037E"/>
          </w:rPr>
          <w:t>délégation de l'</w:t>
        </w:r>
      </w:hyperlink>
      <w:hyperlink r:id="rId41">
        <w:r>
          <w:rPr>
            <w:color w:val="05037E"/>
            <w:u w:val="single" w:color="05037E"/>
          </w:rPr>
          <w:t xml:space="preserve">INTPA, du FPI et de NEAR </w:t>
        </w:r>
      </w:hyperlink>
      <w:hyperlink r:id="rId42">
        <w:r>
          <w:rPr>
            <w:color w:val="05037E"/>
            <w:u w:val="single" w:color="05037E"/>
          </w:rPr>
          <w:t>(Note d'orientation sur le marqueur de migration dans NDICI-Global Europe)</w:t>
        </w:r>
      </w:hyperlink>
    </w:p>
    <w:p w14:paraId="4659114D" w14:textId="62091272" w:rsidR="00D66134" w:rsidRDefault="00B56B8E">
      <w:pPr>
        <w:pStyle w:val="ListParagraph"/>
        <w:numPr>
          <w:ilvl w:val="0"/>
          <w:numId w:val="1"/>
        </w:numPr>
        <w:tabs>
          <w:tab w:val="left" w:pos="861"/>
        </w:tabs>
        <w:spacing w:before="134"/>
        <w:rPr>
          <w:rFonts w:ascii="Calibri" w:hAnsi="Calibri"/>
        </w:rPr>
      </w:pPr>
      <w:r>
        <w:rPr>
          <w:spacing w:val="-2"/>
        </w:rPr>
        <w:t xml:space="preserve">Points </w:t>
      </w:r>
      <w:r>
        <w:t>clés</w:t>
      </w:r>
      <w:r w:rsidR="000D47CB">
        <w:t>:</w:t>
      </w:r>
    </w:p>
    <w:p w14:paraId="61F99142" w14:textId="2F498920" w:rsidR="00D66134" w:rsidRDefault="00B56B8E">
      <w:pPr>
        <w:pStyle w:val="ListParagraph"/>
        <w:numPr>
          <w:ilvl w:val="1"/>
          <w:numId w:val="1"/>
        </w:numPr>
        <w:tabs>
          <w:tab w:val="left" w:pos="1579"/>
          <w:tab w:val="left" w:pos="1581"/>
        </w:tabs>
        <w:spacing w:before="8" w:line="254" w:lineRule="auto"/>
        <w:ind w:right="221"/>
      </w:pPr>
      <w:r>
        <w:t>Note d'orientation établissant les règles de suivi des dépenses de l'UE pour les actions liées aux migrations dans les pays tiers, en réponse à l'exigence selon laquelle l'instrument de financement NDICI-Europe mondiale (le principal outil de financement de l'aide au développement et de la coopération extérieure de l'UE pour 2021-2027) co</w:t>
      </w:r>
      <w:r w:rsidR="00D742EA">
        <w:t>nsacre 10 % de ses fonds à des «</w:t>
      </w:r>
      <w:r>
        <w:t>actions soutenant la gestion et la gouvernance des migrati</w:t>
      </w:r>
      <w:r w:rsidR="00D742EA">
        <w:t xml:space="preserve">ons et des déplacements forces </w:t>
      </w:r>
      <w:r w:rsidR="00D742EA" w:rsidRPr="00200C3E">
        <w:t>»</w:t>
      </w:r>
    </w:p>
    <w:p w14:paraId="3E468C75" w14:textId="7EDDBA7E" w:rsidR="00D66134" w:rsidRDefault="000D47CB">
      <w:pPr>
        <w:pStyle w:val="ListParagraph"/>
        <w:numPr>
          <w:ilvl w:val="1"/>
          <w:numId w:val="1"/>
        </w:numPr>
        <w:tabs>
          <w:tab w:val="left" w:pos="1579"/>
          <w:tab w:val="left" w:pos="1581"/>
        </w:tabs>
        <w:spacing w:before="11" w:line="252" w:lineRule="auto"/>
        <w:ind w:right="410"/>
      </w:pPr>
      <w:r>
        <w:t>N</w:t>
      </w:r>
      <w:r w:rsidR="00B56B8E">
        <w:t>ote que les projets de développement financés par le NDICI-GE comptent pour</w:t>
      </w:r>
      <w:r w:rsidR="00D742EA">
        <w:t xml:space="preserve"> « </w:t>
      </w:r>
      <w:r w:rsidR="00B56B8E">
        <w:t>atteindre l'objectif de d</w:t>
      </w:r>
      <w:r w:rsidR="00D742EA">
        <w:t xml:space="preserve">épenses en matière de migration </w:t>
      </w:r>
      <w:r w:rsidR="00D742EA" w:rsidRPr="00200C3E">
        <w:t>»</w:t>
      </w:r>
      <w:r w:rsidR="00D742EA">
        <w:t xml:space="preserve"> s'ils « </w:t>
      </w:r>
      <w:r w:rsidR="00B56B8E">
        <w:t>s'attaquent aux causes profondes de la migration irrégul</w:t>
      </w:r>
      <w:r w:rsidR="00D742EA">
        <w:t xml:space="preserve">ière et des déplacements forces </w:t>
      </w:r>
      <w:r w:rsidR="00D742EA" w:rsidRPr="00200C3E">
        <w:t>»</w:t>
      </w:r>
      <w:r w:rsidR="00D742EA">
        <w:t>, mais seulement «</w:t>
      </w:r>
      <w:r w:rsidR="00B56B8E">
        <w:t>lorsqu'ils ciblent directement des défis spécifiques liés à la migration et aux dép</w:t>
      </w:r>
      <w:r w:rsidR="00D742EA">
        <w:t>lacements forcés</w:t>
      </w:r>
      <w:r w:rsidR="00D742EA" w:rsidRPr="00D742EA">
        <w:t>»</w:t>
      </w:r>
    </w:p>
    <w:p w14:paraId="33874B88" w14:textId="47B951D4" w:rsidR="00D66134" w:rsidRDefault="000D47CB">
      <w:pPr>
        <w:pStyle w:val="ListParagraph"/>
        <w:numPr>
          <w:ilvl w:val="1"/>
          <w:numId w:val="1"/>
        </w:numPr>
        <w:tabs>
          <w:tab w:val="left" w:pos="1579"/>
          <w:tab w:val="left" w:pos="1581"/>
        </w:tabs>
        <w:spacing w:before="10" w:line="252" w:lineRule="auto"/>
        <w:ind w:right="384"/>
      </w:pPr>
      <w:r>
        <w:t>D</w:t>
      </w:r>
      <w:r w:rsidR="00B56B8E">
        <w:t xml:space="preserve">onne des instructions sur la conception de projets pertinents pour atteindre l'objectif de dépenses en matière de </w:t>
      </w:r>
      <w:r w:rsidR="00D742EA">
        <w:t>migration;</w:t>
      </w:r>
      <w:r w:rsidR="00B56B8E">
        <w:t xml:space="preserve"> ces projets doivent analyser la situation migratoire dans le pays dans lequel l'action aura lieu, cibler direct</w:t>
      </w:r>
      <w:r w:rsidR="00074A89">
        <w:t>ement les «</w:t>
      </w:r>
      <w:r w:rsidR="00D742EA">
        <w:t>défis</w:t>
      </w:r>
      <w:r w:rsidR="00D742EA" w:rsidRPr="00200C3E">
        <w:t>»</w:t>
      </w:r>
      <w:r w:rsidR="00B56B8E">
        <w:t xml:space="preserve"> en matière de migration, et suivre et rendre compte des</w:t>
      </w:r>
      <w:r w:rsidR="00074A89">
        <w:t xml:space="preserve"> « résultats liés à la migration</w:t>
      </w:r>
      <w:r w:rsidR="00074A89" w:rsidRPr="00200C3E">
        <w:t>»</w:t>
      </w:r>
      <w:r w:rsidR="00B56B8E">
        <w:t>.</w:t>
      </w:r>
    </w:p>
    <w:p w14:paraId="686970E1" w14:textId="3E5287D3" w:rsidR="00D66134" w:rsidRDefault="00B56B8E">
      <w:pPr>
        <w:pStyle w:val="ListParagraph"/>
        <w:numPr>
          <w:ilvl w:val="0"/>
          <w:numId w:val="1"/>
        </w:numPr>
        <w:tabs>
          <w:tab w:val="left" w:pos="861"/>
        </w:tabs>
        <w:spacing w:before="21"/>
        <w:ind w:hanging="360"/>
        <w:rPr>
          <w:rFonts w:ascii="Calibri" w:hAnsi="Calibri"/>
        </w:rPr>
      </w:pPr>
      <w:r>
        <w:t xml:space="preserve">De la part </w:t>
      </w:r>
      <w:r w:rsidR="00074A89">
        <w:t>de:</w:t>
      </w:r>
      <w:r>
        <w:t xml:space="preserve"> </w:t>
      </w:r>
      <w:r>
        <w:rPr>
          <w:spacing w:val="-2"/>
        </w:rPr>
        <w:t xml:space="preserve">Commission </w:t>
      </w:r>
      <w:r>
        <w:t>européenne</w:t>
      </w:r>
    </w:p>
    <w:p w14:paraId="301C44BA" w14:textId="463BC448" w:rsidR="00D66134" w:rsidRDefault="00074A89">
      <w:pPr>
        <w:pStyle w:val="ListParagraph"/>
        <w:numPr>
          <w:ilvl w:val="0"/>
          <w:numId w:val="1"/>
        </w:numPr>
        <w:tabs>
          <w:tab w:val="left" w:pos="861"/>
        </w:tabs>
        <w:ind w:hanging="360"/>
        <w:rPr>
          <w:rFonts w:ascii="Calibri" w:hAnsi="Calibri"/>
        </w:rPr>
      </w:pPr>
      <w:r>
        <w:t>A:</w:t>
      </w:r>
      <w:r w:rsidR="00B56B8E">
        <w:t xml:space="preserve"> Commission européenne et </w:t>
      </w:r>
      <w:r w:rsidR="00B56B8E">
        <w:rPr>
          <w:spacing w:val="-2"/>
        </w:rPr>
        <w:t xml:space="preserve">fonctionnaires des </w:t>
      </w:r>
      <w:r w:rsidR="00B56B8E">
        <w:t>États membres</w:t>
      </w:r>
    </w:p>
    <w:p w14:paraId="47855701" w14:textId="5E5C17BA" w:rsidR="00D66134" w:rsidRDefault="00B56B8E">
      <w:pPr>
        <w:pStyle w:val="ListParagraph"/>
        <w:numPr>
          <w:ilvl w:val="0"/>
          <w:numId w:val="1"/>
        </w:numPr>
        <w:tabs>
          <w:tab w:val="left" w:pos="861"/>
        </w:tabs>
        <w:spacing w:before="20"/>
        <w:ind w:hanging="360"/>
        <w:rPr>
          <w:rFonts w:ascii="Calibri" w:hAnsi="Calibri"/>
        </w:rPr>
      </w:pPr>
      <w:r>
        <w:t xml:space="preserve">Date du </w:t>
      </w:r>
      <w:r w:rsidR="00074A89">
        <w:t>document:</w:t>
      </w:r>
      <w:r>
        <w:t xml:space="preserve"> 1er août </w:t>
      </w:r>
      <w:r>
        <w:rPr>
          <w:spacing w:val="-4"/>
        </w:rPr>
        <w:t>2021</w:t>
      </w:r>
    </w:p>
    <w:p w14:paraId="6167AD7C" w14:textId="1A516EE6" w:rsidR="00D66134" w:rsidRDefault="00B56B8E">
      <w:pPr>
        <w:pStyle w:val="ListParagraph"/>
        <w:numPr>
          <w:ilvl w:val="0"/>
          <w:numId w:val="1"/>
        </w:numPr>
        <w:tabs>
          <w:tab w:val="left" w:pos="861"/>
        </w:tabs>
        <w:ind w:hanging="360"/>
        <w:rPr>
          <w:rFonts w:ascii="Calibri" w:hAnsi="Calibri"/>
        </w:rPr>
      </w:pPr>
      <w:r>
        <w:t xml:space="preserve">Numéro de </w:t>
      </w:r>
      <w:r w:rsidR="00074A89">
        <w:t>document:</w:t>
      </w:r>
      <w:r>
        <w:t xml:space="preserve"> Intpa.g.6 </w:t>
      </w:r>
      <w:r>
        <w:rPr>
          <w:spacing w:val="-2"/>
        </w:rPr>
        <w:t>(2021)6244514</w:t>
      </w:r>
    </w:p>
    <w:p w14:paraId="61774C01" w14:textId="77777777" w:rsidR="00D66134" w:rsidRDefault="00D66134">
      <w:pPr>
        <w:pStyle w:val="BodyText"/>
        <w:ind w:left="0"/>
      </w:pPr>
    </w:p>
    <w:p w14:paraId="38ABBA06" w14:textId="77777777" w:rsidR="00D66134" w:rsidRDefault="00D66134">
      <w:pPr>
        <w:pStyle w:val="BodyText"/>
        <w:spacing w:before="84"/>
        <w:ind w:left="0"/>
      </w:pPr>
    </w:p>
    <w:p w14:paraId="2F0C5518" w14:textId="77777777" w:rsidR="00D66134" w:rsidRDefault="00B56B8E">
      <w:pPr>
        <w:pStyle w:val="BodyText"/>
        <w:spacing w:line="288" w:lineRule="auto"/>
        <w:ind w:right="275"/>
      </w:pPr>
      <w:hyperlink r:id="rId43">
        <w:r>
          <w:rPr>
            <w:color w:val="05037E"/>
            <w:u w:val="single" w:color="05037E"/>
          </w:rPr>
          <w:t xml:space="preserve">Discussions tenues lors des 4ème, 6ème et 7ème réunions du groupe de coordination sur la migration </w:t>
        </w:r>
      </w:hyperlink>
      <w:hyperlink r:id="rId44">
        <w:r>
          <w:rPr>
            <w:color w:val="05037E"/>
            <w:u w:val="single" w:color="05037E"/>
          </w:rPr>
          <w:t xml:space="preserve">Mécanisme </w:t>
        </w:r>
      </w:hyperlink>
      <w:hyperlink r:id="rId45">
        <w:r>
          <w:rPr>
            <w:color w:val="05037E"/>
            <w:u w:val="single" w:color="05037E"/>
          </w:rPr>
          <w:t xml:space="preserve">flexible </w:t>
        </w:r>
      </w:hyperlink>
      <w:hyperlink r:id="rId46">
        <w:r>
          <w:rPr>
            <w:color w:val="05037E"/>
            <w:u w:val="single" w:color="05037E"/>
          </w:rPr>
          <w:t xml:space="preserve">pour les migrations et les déplacements forcés 17 juin, 16 novembre et 24 </w:t>
        </w:r>
      </w:hyperlink>
      <w:hyperlink r:id="rId47">
        <w:r>
          <w:rPr>
            <w:color w:val="05037E"/>
            <w:u w:val="single" w:color="05037E"/>
          </w:rPr>
          <w:t>novembre respectivement</w:t>
        </w:r>
      </w:hyperlink>
    </w:p>
    <w:p w14:paraId="07293631" w14:textId="389311C9" w:rsidR="00D66134" w:rsidRDefault="00B56B8E">
      <w:pPr>
        <w:pStyle w:val="ListParagraph"/>
        <w:numPr>
          <w:ilvl w:val="0"/>
          <w:numId w:val="1"/>
        </w:numPr>
        <w:tabs>
          <w:tab w:val="left" w:pos="861"/>
        </w:tabs>
        <w:spacing w:before="132"/>
        <w:rPr>
          <w:rFonts w:ascii="Calibri" w:hAnsi="Calibri"/>
        </w:rPr>
      </w:pPr>
      <w:r>
        <w:rPr>
          <w:spacing w:val="-2"/>
        </w:rPr>
        <w:t xml:space="preserve">Points </w:t>
      </w:r>
      <w:r>
        <w:t>clés</w:t>
      </w:r>
      <w:r w:rsidR="000D47CB">
        <w:t>:</w:t>
      </w:r>
    </w:p>
    <w:p w14:paraId="53109951" w14:textId="4FFBFC9E" w:rsidR="00D66134" w:rsidRDefault="000D47CB">
      <w:pPr>
        <w:pStyle w:val="ListParagraph"/>
        <w:numPr>
          <w:ilvl w:val="1"/>
          <w:numId w:val="1"/>
        </w:numPr>
        <w:tabs>
          <w:tab w:val="left" w:pos="1579"/>
          <w:tab w:val="left" w:pos="1581"/>
        </w:tabs>
        <w:spacing w:before="8" w:line="252" w:lineRule="auto"/>
        <w:ind w:right="176"/>
      </w:pPr>
      <w:r>
        <w:t>D</w:t>
      </w:r>
      <w:r w:rsidR="00B56B8E">
        <w:t>écrit les projets financés par un no</w:t>
      </w:r>
      <w:r w:rsidR="00074A89">
        <w:t xml:space="preserve">uvel instrument de financement « Flexible Mechanism </w:t>
      </w:r>
      <w:r w:rsidR="00074A89" w:rsidRPr="00200C3E">
        <w:t>»</w:t>
      </w:r>
      <w:r w:rsidR="00B56B8E">
        <w:t xml:space="preserve"> de 200 millions d'euros dans le cadre de </w:t>
      </w:r>
      <w:r w:rsidR="00074A89">
        <w:t xml:space="preserve">NDICI-Global Europe, destiné à « </w:t>
      </w:r>
      <w:r w:rsidR="00B56B8E">
        <w:t>maxi</w:t>
      </w:r>
      <w:r w:rsidR="0076246D">
        <w:t xml:space="preserve">miser l'effet de levier de l'UE </w:t>
      </w:r>
      <w:r w:rsidR="0076246D" w:rsidRPr="00200C3E">
        <w:t>»</w:t>
      </w:r>
      <w:r w:rsidR="00B56B8E">
        <w:t xml:space="preserve"> et à inciter les pays partenaires d'Afrique subsaharienne à coopérer avec l'UE en matière de contrôle des migrations</w:t>
      </w:r>
    </w:p>
    <w:p w14:paraId="3ED69603" w14:textId="5F798F07" w:rsidR="00D66134" w:rsidRDefault="00B56B8E">
      <w:pPr>
        <w:pStyle w:val="ListParagraph"/>
        <w:numPr>
          <w:ilvl w:val="1"/>
          <w:numId w:val="1"/>
        </w:numPr>
        <w:tabs>
          <w:tab w:val="left" w:pos="1579"/>
          <w:tab w:val="left" w:pos="1581"/>
        </w:tabs>
        <w:spacing w:before="10" w:line="256" w:lineRule="auto"/>
        <w:ind w:right="326"/>
      </w:pPr>
      <w:r>
        <w:t>Le mécanisme a approuvé le financement de projets au Niger (13 millions d'euros pour souten</w:t>
      </w:r>
      <w:r w:rsidR="00074A89">
        <w:t xml:space="preserve">ir la police nigériane dans la « </w:t>
      </w:r>
      <w:r>
        <w:t>lutte contre les réseaux criminels liés à la migration ir</w:t>
      </w:r>
      <w:r w:rsidR="00074A89">
        <w:t xml:space="preserve">régulière </w:t>
      </w:r>
      <w:r w:rsidR="00074A89" w:rsidRPr="00200C3E">
        <w:t>»</w:t>
      </w:r>
      <w:r>
        <w:t>), en Mauritanie (20 millions d'euros pour la formation profes</w:t>
      </w:r>
      <w:r w:rsidR="00074A89">
        <w:t xml:space="preserve">sionnelle, l'éducation sur les « risques migratoires </w:t>
      </w:r>
      <w:r w:rsidR="00074A89" w:rsidRPr="00200C3E">
        <w:t>»</w:t>
      </w:r>
      <w:r>
        <w:t xml:space="preserve"> et l'information sur les po</w:t>
      </w:r>
      <w:r w:rsidR="00074A89">
        <w:t xml:space="preserve">ssibilités d'emploi local pour « </w:t>
      </w:r>
      <w:r>
        <w:t>éviter les m</w:t>
      </w:r>
      <w:r w:rsidR="00074A89">
        <w:t xml:space="preserve">ouvements secondaires vers l'UE </w:t>
      </w:r>
      <w:r w:rsidR="00074A89" w:rsidRPr="00200C3E">
        <w:t>»</w:t>
      </w:r>
      <w:r>
        <w:t xml:space="preserve">), au Kenya (15 millions d'euros pour transformer les camps de réfugiés en installations à long terme) et en Ouganda (15 millions d'euros pour soutenir l'Ouganda dans l'élaboration de politiques et la fourniture de services à l'afflux de réfugiés provenant principalement de la </w:t>
      </w:r>
      <w:r>
        <w:rPr>
          <w:spacing w:val="-4"/>
        </w:rPr>
        <w:t>RDC).</w:t>
      </w:r>
    </w:p>
    <w:p w14:paraId="4945C5E9" w14:textId="40E5A0DE" w:rsidR="00D66134" w:rsidRDefault="00B56B8E">
      <w:pPr>
        <w:pStyle w:val="ListParagraph"/>
        <w:numPr>
          <w:ilvl w:val="1"/>
          <w:numId w:val="1"/>
        </w:numPr>
        <w:tabs>
          <w:tab w:val="left" w:pos="1579"/>
          <w:tab w:val="left" w:pos="1581"/>
        </w:tabs>
        <w:spacing w:before="0" w:line="254" w:lineRule="auto"/>
        <w:ind w:right="241"/>
      </w:pPr>
      <w:r>
        <w:t xml:space="preserve">Prend note des discussions et des réactions des États membres sur chaque projet et des </w:t>
      </w:r>
      <w:r w:rsidR="00074A89">
        <w:t>réponses;</w:t>
      </w:r>
      <w:r>
        <w:t xml:space="preserve"> par exemple, plusieurs États membres (FR, NL, ES) ont demandé si le projet de déplacement forcé en Ouganda devait être financé par ce mécanisme, plutôt que par d'autres instruments destinés aux déplacements, ce à quoi le CGM a répondu que l</w:t>
      </w:r>
      <w:r w:rsidR="00074A89">
        <w:t xml:space="preserve">a stabilité de la région était « </w:t>
      </w:r>
      <w:r>
        <w:t>d'une i</w:t>
      </w:r>
      <w:r w:rsidR="0076246D">
        <w:t xml:space="preserve">mportance stratégique pour l'UE </w:t>
      </w:r>
      <w:r w:rsidR="0076246D" w:rsidRPr="00200C3E">
        <w:t>»</w:t>
      </w:r>
      <w:r>
        <w:t>.</w:t>
      </w:r>
    </w:p>
    <w:p w14:paraId="14C646CD" w14:textId="5FF23283" w:rsidR="00D66134" w:rsidRDefault="00B56B8E">
      <w:pPr>
        <w:pStyle w:val="ListParagraph"/>
        <w:numPr>
          <w:ilvl w:val="0"/>
          <w:numId w:val="1"/>
        </w:numPr>
        <w:tabs>
          <w:tab w:val="left" w:pos="861"/>
        </w:tabs>
        <w:spacing w:before="21"/>
        <w:ind w:hanging="360"/>
        <w:rPr>
          <w:rFonts w:ascii="Calibri" w:hAnsi="Calibri"/>
        </w:rPr>
      </w:pPr>
      <w:r>
        <w:t>De/</w:t>
      </w:r>
      <w:r w:rsidR="0076246D">
        <w:t>Auteur:</w:t>
      </w:r>
      <w:r>
        <w:t xml:space="preserve"> Le Secrétariat du Groupe de coordination sur les </w:t>
      </w:r>
      <w:r>
        <w:rPr>
          <w:spacing w:val="-2"/>
        </w:rPr>
        <w:t>migrations</w:t>
      </w:r>
    </w:p>
    <w:p w14:paraId="1596E112" w14:textId="77777777" w:rsidR="00D66134" w:rsidRDefault="00D66134">
      <w:pPr>
        <w:pStyle w:val="ListParagraph"/>
        <w:rPr>
          <w:rFonts w:ascii="Calibri" w:hAnsi="Calibri"/>
        </w:rPr>
        <w:sectPr w:rsidR="00D66134">
          <w:pgSz w:w="11910" w:h="16840"/>
          <w:pgMar w:top="1320" w:right="1275" w:bottom="1960" w:left="1275" w:header="0" w:footer="1766" w:gutter="0"/>
          <w:cols w:space="720"/>
        </w:sectPr>
      </w:pPr>
    </w:p>
    <w:p w14:paraId="584524A9" w14:textId="77777777" w:rsidR="00D66134" w:rsidRDefault="00B56B8E">
      <w:pPr>
        <w:pStyle w:val="ListParagraph"/>
        <w:numPr>
          <w:ilvl w:val="0"/>
          <w:numId w:val="1"/>
        </w:numPr>
        <w:tabs>
          <w:tab w:val="left" w:pos="860"/>
        </w:tabs>
        <w:spacing w:before="91"/>
        <w:ind w:left="860" w:hanging="360"/>
        <w:rPr>
          <w:rFonts w:ascii="Calibri" w:hAnsi="Calibri"/>
        </w:rPr>
      </w:pPr>
      <w:r>
        <w:t xml:space="preserve">A : </w:t>
      </w:r>
      <w:hyperlink r:id="rId48">
        <w:r>
          <w:rPr>
            <w:color w:val="05037E"/>
            <w:u w:val="single" w:color="05037E"/>
          </w:rPr>
          <w:t xml:space="preserve">Groupe de coordination sur les </w:t>
        </w:r>
        <w:r>
          <w:rPr>
            <w:color w:val="05037E"/>
            <w:spacing w:val="-2"/>
            <w:u w:val="single" w:color="05037E"/>
          </w:rPr>
          <w:t>migrations</w:t>
        </w:r>
      </w:hyperlink>
    </w:p>
    <w:p w14:paraId="6F9C5F47" w14:textId="6523E1D3" w:rsidR="00D66134" w:rsidRDefault="00B56B8E">
      <w:pPr>
        <w:pStyle w:val="ListParagraph"/>
        <w:numPr>
          <w:ilvl w:val="0"/>
          <w:numId w:val="1"/>
        </w:numPr>
        <w:tabs>
          <w:tab w:val="left" w:pos="861"/>
        </w:tabs>
        <w:rPr>
          <w:rFonts w:ascii="Calibri" w:hAnsi="Calibri"/>
        </w:rPr>
      </w:pPr>
      <w:r>
        <w:t xml:space="preserve">Date du </w:t>
      </w:r>
      <w:r w:rsidR="0076246D">
        <w:t>document:</w:t>
      </w:r>
      <w:r>
        <w:t xml:space="preserve"> 13 décembre </w:t>
      </w:r>
      <w:r>
        <w:rPr>
          <w:spacing w:val="-4"/>
        </w:rPr>
        <w:t>2022</w:t>
      </w:r>
    </w:p>
    <w:p w14:paraId="5D00189C" w14:textId="77777777" w:rsidR="00D66134" w:rsidRDefault="00D66134">
      <w:pPr>
        <w:pStyle w:val="BodyText"/>
        <w:ind w:left="0"/>
      </w:pPr>
    </w:p>
    <w:p w14:paraId="67BCEF36" w14:textId="77777777" w:rsidR="00D66134" w:rsidRDefault="00D66134">
      <w:pPr>
        <w:pStyle w:val="BodyText"/>
        <w:ind w:left="0"/>
      </w:pPr>
    </w:p>
    <w:p w14:paraId="5631E2F3" w14:textId="77777777" w:rsidR="00D66134" w:rsidRDefault="00D66134">
      <w:pPr>
        <w:pStyle w:val="BodyText"/>
        <w:spacing w:before="71"/>
        <w:ind w:left="0"/>
      </w:pPr>
    </w:p>
    <w:p w14:paraId="52DC798A" w14:textId="77777777" w:rsidR="00D66134" w:rsidRDefault="00B56B8E">
      <w:pPr>
        <w:pStyle w:val="Heading2"/>
      </w:pPr>
      <w:bookmarkStart w:id="8" w:name="Deportation_and_readmission"/>
      <w:bookmarkStart w:id="9" w:name="_bookmark4"/>
      <w:bookmarkEnd w:id="8"/>
      <w:bookmarkEnd w:id="9"/>
      <w:r>
        <w:t xml:space="preserve">Expulsion et </w:t>
      </w:r>
      <w:r>
        <w:rPr>
          <w:spacing w:val="-2"/>
        </w:rPr>
        <w:t>réadmission</w:t>
      </w:r>
    </w:p>
    <w:p w14:paraId="6F2F873C" w14:textId="77777777" w:rsidR="00D66134" w:rsidRDefault="00B56B8E">
      <w:pPr>
        <w:pStyle w:val="BodyText"/>
        <w:spacing w:before="181" w:line="288" w:lineRule="auto"/>
        <w:ind w:right="214"/>
      </w:pPr>
      <w:hyperlink r:id="rId49">
        <w:r>
          <w:rPr>
            <w:color w:val="05037E"/>
            <w:u w:val="single" w:color="05037E"/>
          </w:rPr>
          <w:t xml:space="preserve">Appui à la protection et à l'intégration économique et sociale des rapatriés tunisiens, des </w:t>
        </w:r>
      </w:hyperlink>
      <w:hyperlink r:id="rId50">
        <w:r>
          <w:rPr>
            <w:color w:val="05037E"/>
            <w:u w:val="single" w:color="05037E"/>
          </w:rPr>
          <w:t>populations déplacées et des communautés d'accueil en Tunisie et au Maroc</w:t>
        </w:r>
      </w:hyperlink>
    </w:p>
    <w:p w14:paraId="0D63FC6A" w14:textId="77777777" w:rsidR="00D66134" w:rsidRDefault="00B56B8E">
      <w:pPr>
        <w:pStyle w:val="ListParagraph"/>
        <w:numPr>
          <w:ilvl w:val="0"/>
          <w:numId w:val="1"/>
        </w:numPr>
        <w:tabs>
          <w:tab w:val="left" w:pos="861"/>
        </w:tabs>
        <w:spacing w:before="133"/>
        <w:rPr>
          <w:rFonts w:ascii="Calibri" w:hAnsi="Calibri"/>
        </w:rPr>
      </w:pPr>
      <w:r>
        <w:rPr>
          <w:spacing w:val="-2"/>
        </w:rPr>
        <w:t xml:space="preserve">Points </w:t>
      </w:r>
      <w:r>
        <w:t>clés</w:t>
      </w:r>
    </w:p>
    <w:p w14:paraId="4FD72C79" w14:textId="0BD283A1" w:rsidR="00D66134" w:rsidRDefault="0076246D">
      <w:pPr>
        <w:pStyle w:val="ListParagraph"/>
        <w:numPr>
          <w:ilvl w:val="1"/>
          <w:numId w:val="1"/>
        </w:numPr>
        <w:tabs>
          <w:tab w:val="left" w:pos="1580"/>
        </w:tabs>
        <w:spacing w:before="8"/>
        <w:ind w:left="1580" w:hanging="359"/>
      </w:pPr>
      <w:r>
        <w:t xml:space="preserve">Un projet visant à « </w:t>
      </w:r>
      <w:r w:rsidR="00B56B8E">
        <w:t>améliorer l'accès à la protection et à l'</w:t>
      </w:r>
      <w:r>
        <w:rPr>
          <w:spacing w:val="-2"/>
        </w:rPr>
        <w:t xml:space="preserve">aide économique </w:t>
      </w:r>
    </w:p>
    <w:p w14:paraId="0CD2001E" w14:textId="691280E1" w:rsidR="00D66134" w:rsidRDefault="00B56B8E" w:rsidP="0076246D">
      <w:pPr>
        <w:pStyle w:val="ListParagraph"/>
        <w:tabs>
          <w:tab w:val="left" w:pos="1579"/>
          <w:tab w:val="left" w:pos="1581"/>
        </w:tabs>
        <w:spacing w:before="2"/>
        <w:ind w:left="1581" w:right="264" w:firstLine="0"/>
      </w:pPr>
      <w:r>
        <w:t>et l'intégration sociale des Tunisiens [sic] rapatriés, des populations déplacées et des communautés d</w:t>
      </w:r>
      <w:r w:rsidR="0076246D">
        <w:t xml:space="preserve">'accueil en Tunisie et au Maroc </w:t>
      </w:r>
      <w:r w:rsidR="0076246D" w:rsidRPr="00200C3E">
        <w:t>»</w:t>
      </w:r>
    </w:p>
    <w:p w14:paraId="6F5B306C" w14:textId="4AEA23B3" w:rsidR="00D66134" w:rsidRDefault="0076246D">
      <w:pPr>
        <w:pStyle w:val="ListParagraph"/>
        <w:numPr>
          <w:ilvl w:val="1"/>
          <w:numId w:val="1"/>
        </w:numPr>
        <w:tabs>
          <w:tab w:val="left" w:pos="1579"/>
          <w:tab w:val="left" w:pos="1581"/>
        </w:tabs>
        <w:spacing w:line="249" w:lineRule="auto"/>
        <w:ind w:right="226"/>
      </w:pPr>
      <w:r>
        <w:t xml:space="preserve">Le document notes: « </w:t>
      </w:r>
      <w:r w:rsidR="00B56B8E">
        <w:t>Il est essentiel de créer des opportunités locales pour la jeunesse tunisienne, afin d'avoir des perspectives autres que celle du départ pour réussir, mais aussi en même temps de renforcer le mécanisme</w:t>
      </w:r>
      <w:r>
        <w:t xml:space="preserve"> de soutien au retour </w:t>
      </w:r>
      <w:r w:rsidRPr="00200C3E">
        <w:t>»</w:t>
      </w:r>
    </w:p>
    <w:p w14:paraId="185DA1E9" w14:textId="77777777" w:rsidR="00D66134" w:rsidRDefault="00B56B8E">
      <w:pPr>
        <w:pStyle w:val="ListParagraph"/>
        <w:numPr>
          <w:ilvl w:val="1"/>
          <w:numId w:val="1"/>
        </w:numPr>
        <w:tabs>
          <w:tab w:val="left" w:pos="1580"/>
        </w:tabs>
        <w:spacing w:before="9"/>
        <w:ind w:left="1580" w:hanging="359"/>
      </w:pPr>
      <w:r>
        <w:t xml:space="preserve">Le budget proposé est </w:t>
      </w:r>
      <w:r>
        <w:rPr>
          <w:spacing w:val="-2"/>
        </w:rPr>
        <w:t>censuré</w:t>
      </w:r>
    </w:p>
    <w:p w14:paraId="5B193917" w14:textId="17198A0A" w:rsidR="00D66134" w:rsidRDefault="0076246D">
      <w:pPr>
        <w:pStyle w:val="ListParagraph"/>
        <w:numPr>
          <w:ilvl w:val="0"/>
          <w:numId w:val="1"/>
        </w:numPr>
        <w:tabs>
          <w:tab w:val="left" w:pos="861"/>
        </w:tabs>
        <w:spacing w:before="13"/>
        <w:ind w:hanging="360"/>
        <w:rPr>
          <w:rFonts w:ascii="Calibri" w:hAnsi="Calibri"/>
        </w:rPr>
      </w:pPr>
      <w:r>
        <w:t>De:</w:t>
      </w:r>
      <w:r w:rsidR="00B56B8E">
        <w:rPr>
          <w:spacing w:val="-2"/>
        </w:rPr>
        <w:t xml:space="preserve"> Inconnu</w:t>
      </w:r>
    </w:p>
    <w:p w14:paraId="71B01233" w14:textId="77777777" w:rsidR="00D66134" w:rsidRDefault="00B56B8E">
      <w:pPr>
        <w:pStyle w:val="ListParagraph"/>
        <w:numPr>
          <w:ilvl w:val="0"/>
          <w:numId w:val="1"/>
        </w:numPr>
        <w:tabs>
          <w:tab w:val="left" w:pos="862"/>
        </w:tabs>
        <w:ind w:left="862" w:hanging="360"/>
        <w:rPr>
          <w:rFonts w:ascii="Calibri" w:hAnsi="Calibri"/>
        </w:rPr>
      </w:pPr>
      <w:r>
        <w:t xml:space="preserve">A : </w:t>
      </w:r>
      <w:hyperlink r:id="rId51">
        <w:r>
          <w:rPr>
            <w:color w:val="05037E"/>
            <w:u w:val="single" w:color="05037E"/>
          </w:rPr>
          <w:t xml:space="preserve">Groupe de coordination sur les </w:t>
        </w:r>
        <w:r>
          <w:rPr>
            <w:color w:val="05037E"/>
            <w:spacing w:val="-2"/>
            <w:u w:val="single" w:color="05037E"/>
          </w:rPr>
          <w:t>migrations</w:t>
        </w:r>
      </w:hyperlink>
    </w:p>
    <w:p w14:paraId="0AB72F7C" w14:textId="0984A1FE" w:rsidR="00D66134" w:rsidRDefault="00B56B8E">
      <w:pPr>
        <w:pStyle w:val="ListParagraph"/>
        <w:numPr>
          <w:ilvl w:val="0"/>
          <w:numId w:val="1"/>
        </w:numPr>
        <w:tabs>
          <w:tab w:val="left" w:pos="861"/>
        </w:tabs>
        <w:spacing w:before="20"/>
        <w:rPr>
          <w:rFonts w:ascii="Calibri" w:hAnsi="Calibri"/>
        </w:rPr>
      </w:pPr>
      <w:r>
        <w:t xml:space="preserve">Date du </w:t>
      </w:r>
      <w:r w:rsidR="0076246D">
        <w:t>document:</w:t>
      </w:r>
      <w:r>
        <w:t xml:space="preserve"> non daté, publié le 30 octobre </w:t>
      </w:r>
      <w:r>
        <w:rPr>
          <w:spacing w:val="-4"/>
        </w:rPr>
        <w:t>2024</w:t>
      </w:r>
    </w:p>
    <w:p w14:paraId="30A54C63" w14:textId="77777777" w:rsidR="00D66134" w:rsidRDefault="00D66134">
      <w:pPr>
        <w:pStyle w:val="BodyText"/>
        <w:ind w:left="0"/>
      </w:pPr>
    </w:p>
    <w:p w14:paraId="50704F7A" w14:textId="77777777" w:rsidR="00D66134" w:rsidRDefault="00D66134">
      <w:pPr>
        <w:pStyle w:val="BodyText"/>
        <w:spacing w:before="92"/>
        <w:ind w:left="0"/>
      </w:pPr>
    </w:p>
    <w:p w14:paraId="7FA5C92B" w14:textId="19702848" w:rsidR="00D66134" w:rsidRDefault="00B56B8E">
      <w:pPr>
        <w:pStyle w:val="BodyText"/>
        <w:spacing w:before="1" w:line="288" w:lineRule="auto"/>
      </w:pPr>
      <w:hyperlink r:id="rId52">
        <w:r>
          <w:rPr>
            <w:color w:val="05037E"/>
            <w:u w:val="single" w:color="05037E"/>
          </w:rPr>
          <w:t xml:space="preserve">Maroc, Algérie, Libye, Tunisie, Égypte </w:t>
        </w:r>
      </w:hyperlink>
      <w:hyperlink r:id="rId53">
        <w:r>
          <w:rPr>
            <w:color w:val="05037E"/>
            <w:u w:val="single" w:color="05037E"/>
          </w:rPr>
          <w:t xml:space="preserve">Document d'action </w:t>
        </w:r>
      </w:hyperlink>
      <w:hyperlink r:id="rId54">
        <w:r w:rsidR="0076246D">
          <w:t xml:space="preserve">« </w:t>
        </w:r>
        <w:r>
          <w:rPr>
            <w:color w:val="05037E"/>
            <w:u w:val="single" w:color="05037E"/>
          </w:rPr>
          <w:t xml:space="preserve">Soutenir la protection, le retour et la </w:t>
        </w:r>
      </w:hyperlink>
      <w:hyperlink r:id="rId55">
        <w:r>
          <w:rPr>
            <w:color w:val="05037E"/>
            <w:u w:val="single" w:color="05037E"/>
          </w:rPr>
          <w:t xml:space="preserve">réintégration </w:t>
        </w:r>
      </w:hyperlink>
      <w:hyperlink r:id="rId56">
        <w:r>
          <w:rPr>
            <w:color w:val="05037E"/>
            <w:u w:val="single" w:color="05037E"/>
          </w:rPr>
          <w:t xml:space="preserve">durables </w:t>
        </w:r>
      </w:hyperlink>
      <w:hyperlink r:id="rId57">
        <w:r w:rsidR="0076246D">
          <w:rPr>
            <w:color w:val="05037E"/>
            <w:u w:val="single" w:color="05037E"/>
          </w:rPr>
          <w:t xml:space="preserve">en Afrique du Nord </w:t>
        </w:r>
        <w:r w:rsidR="0076246D" w:rsidRPr="00200C3E">
          <w:t>»</w:t>
        </w:r>
        <w:r>
          <w:rPr>
            <w:color w:val="05037E"/>
            <w:u w:val="single" w:color="05037E"/>
          </w:rPr>
          <w:t>.</w:t>
        </w:r>
      </w:hyperlink>
    </w:p>
    <w:p w14:paraId="16236C43" w14:textId="77777777" w:rsidR="00D66134" w:rsidRDefault="00B56B8E">
      <w:pPr>
        <w:pStyle w:val="ListParagraph"/>
        <w:numPr>
          <w:ilvl w:val="0"/>
          <w:numId w:val="1"/>
        </w:numPr>
        <w:tabs>
          <w:tab w:val="left" w:pos="861"/>
        </w:tabs>
        <w:spacing w:before="133"/>
        <w:rPr>
          <w:rFonts w:ascii="Calibri" w:hAnsi="Calibri"/>
        </w:rPr>
      </w:pPr>
      <w:r>
        <w:rPr>
          <w:spacing w:val="-2"/>
        </w:rPr>
        <w:t xml:space="preserve">Points </w:t>
      </w:r>
      <w:r>
        <w:t>clés</w:t>
      </w:r>
    </w:p>
    <w:p w14:paraId="67FD00B5" w14:textId="7161D3D5" w:rsidR="00D66134" w:rsidRDefault="000D47CB">
      <w:pPr>
        <w:pStyle w:val="ListParagraph"/>
        <w:numPr>
          <w:ilvl w:val="1"/>
          <w:numId w:val="1"/>
        </w:numPr>
        <w:tabs>
          <w:tab w:val="left" w:pos="1579"/>
          <w:tab w:val="left" w:pos="1581"/>
        </w:tabs>
        <w:spacing w:before="8" w:line="252" w:lineRule="auto"/>
        <w:ind w:right="300"/>
      </w:pPr>
      <w:r>
        <w:t>P</w:t>
      </w:r>
      <w:r w:rsidR="00B56B8E">
        <w:t xml:space="preserve">ropose un programme de 60 millions d'euros sur trois ans à partir de 2022 pour travailler avec les pays partenaires d'Afrique du Nord afin de renvoyer les migrants bloqués ou détenus dans leur pays </w:t>
      </w:r>
      <w:r w:rsidR="00074A89">
        <w:t xml:space="preserve">d'origine, et pour soutenir la </w:t>
      </w:r>
      <w:r w:rsidR="0076246D">
        <w:t xml:space="preserve">«réintégration durable </w:t>
      </w:r>
      <w:r w:rsidR="0076246D" w:rsidRPr="00200C3E">
        <w:t>»</w:t>
      </w:r>
      <w:r w:rsidR="00B56B8E">
        <w:t xml:space="preserve"> des personnes de la région d'Afrique du Nord renvoyées par l'UE.</w:t>
      </w:r>
    </w:p>
    <w:p w14:paraId="70110CB2" w14:textId="72F86153" w:rsidR="00D66134" w:rsidRDefault="00B56B8E">
      <w:pPr>
        <w:pStyle w:val="ListParagraph"/>
        <w:numPr>
          <w:ilvl w:val="1"/>
          <w:numId w:val="1"/>
        </w:numPr>
        <w:tabs>
          <w:tab w:val="left" w:pos="1579"/>
          <w:tab w:val="left" w:pos="1581"/>
        </w:tabs>
        <w:spacing w:before="10" w:line="249" w:lineRule="auto"/>
        <w:ind w:right="138"/>
      </w:pPr>
      <w:r>
        <w:t>définit l'actio</w:t>
      </w:r>
      <w:r w:rsidR="0076246D">
        <w:t xml:space="preserve">n comme un « soutien aux retours volontaires </w:t>
      </w:r>
      <w:r w:rsidR="0076246D" w:rsidRPr="00200C3E">
        <w:t>»</w:t>
      </w:r>
      <w:r>
        <w:t>,</w:t>
      </w:r>
      <w:r w:rsidR="0076246D">
        <w:t xml:space="preserve"> tout en reconnaissant le «</w:t>
      </w:r>
      <w:r>
        <w:t>manque urgent de protection effi</w:t>
      </w:r>
      <w:r w:rsidR="0076246D">
        <w:t xml:space="preserve">cace et d'assistance suffisante </w:t>
      </w:r>
      <w:r w:rsidR="0076246D" w:rsidRPr="00200C3E">
        <w:t>»</w:t>
      </w:r>
      <w:r w:rsidR="0076246D">
        <w:t xml:space="preserve"> auquel</w:t>
      </w:r>
      <w:r>
        <w:t xml:space="preserve"> sont confrontés les migrants dans la région (en particulier en Libye)</w:t>
      </w:r>
      <w:r w:rsidR="0076246D">
        <w:t xml:space="preserve">, ainsi que les « canaux limités </w:t>
      </w:r>
      <w:r w:rsidR="0076246D" w:rsidRPr="00200C3E">
        <w:t>»</w:t>
      </w:r>
      <w:r w:rsidR="0076246D">
        <w:t xml:space="preserve"> pour</w:t>
      </w:r>
      <w:r>
        <w:t xml:space="preserve"> l'immigration légale</w:t>
      </w:r>
    </w:p>
    <w:p w14:paraId="59210CE9" w14:textId="00D1C61C" w:rsidR="00D66134" w:rsidRDefault="00B56B8E">
      <w:pPr>
        <w:pStyle w:val="ListParagraph"/>
        <w:numPr>
          <w:ilvl w:val="1"/>
          <w:numId w:val="1"/>
        </w:numPr>
        <w:tabs>
          <w:tab w:val="left" w:pos="1579"/>
          <w:tab w:val="left" w:pos="1581"/>
        </w:tabs>
        <w:spacing w:before="10" w:line="252" w:lineRule="auto"/>
        <w:ind w:right="220"/>
      </w:pPr>
      <w:r>
        <w:t xml:space="preserve">L'action vise à renforcer la capacité des pays partenaires à renvoyer les migrants dans leur pays d'origine </w:t>
      </w:r>
      <w:r w:rsidR="00D12998">
        <w:t>et à accroître l'«</w:t>
      </w:r>
      <w:r w:rsidR="0076246D">
        <w:t xml:space="preserve">appropriation </w:t>
      </w:r>
      <w:r w:rsidR="0076246D" w:rsidRPr="00200C3E">
        <w:t>»</w:t>
      </w:r>
      <w:r w:rsidR="0076246D">
        <w:t xml:space="preserve"> de</w:t>
      </w:r>
      <w:r>
        <w:t xml:space="preserve"> ce processus par les pays partenaires, tout en collectant des données sur le projet et les flux migratoires en vue d'une </w:t>
      </w:r>
      <w:r>
        <w:rPr>
          <w:spacing w:val="-4"/>
        </w:rPr>
        <w:t xml:space="preserve">utilisation </w:t>
      </w:r>
      <w:r>
        <w:t>future.</w:t>
      </w:r>
    </w:p>
    <w:p w14:paraId="63F93769" w14:textId="1682F60D" w:rsidR="00D66134" w:rsidRDefault="00B56B8E">
      <w:pPr>
        <w:pStyle w:val="ListParagraph"/>
        <w:numPr>
          <w:ilvl w:val="1"/>
          <w:numId w:val="1"/>
        </w:numPr>
        <w:tabs>
          <w:tab w:val="left" w:pos="1580"/>
          <w:tab w:val="left" w:pos="1582"/>
        </w:tabs>
        <w:spacing w:before="10" w:line="252" w:lineRule="auto"/>
        <w:ind w:left="1582" w:right="211"/>
      </w:pPr>
      <w:r>
        <w:t>L'action se superpose et travaille en collaboration avec plusieurs programmes de réintégration existants dans la région par l'OIM, l'ICMPD, la société civile, les États membres de l'UE, et plus encore, et reconn</w:t>
      </w:r>
      <w:r w:rsidR="0076246D">
        <w:t xml:space="preserve">aît que les « </w:t>
      </w:r>
      <w:r>
        <w:t>lac</w:t>
      </w:r>
      <w:r w:rsidR="0076246D">
        <w:t xml:space="preserve">unes en matière de coordination </w:t>
      </w:r>
      <w:r w:rsidR="0076246D" w:rsidRPr="00200C3E">
        <w:t>»</w:t>
      </w:r>
      <w:r w:rsidR="0076246D">
        <w:t xml:space="preserve"> avec</w:t>
      </w:r>
      <w:r>
        <w:t xml:space="preserve"> ces programmes sont un problème que l'action espère résoudre.</w:t>
      </w:r>
    </w:p>
    <w:p w14:paraId="6ACF9F25" w14:textId="71B6806E" w:rsidR="00D66134" w:rsidRDefault="00B56B8E">
      <w:pPr>
        <w:pStyle w:val="ListParagraph"/>
        <w:numPr>
          <w:ilvl w:val="0"/>
          <w:numId w:val="1"/>
        </w:numPr>
        <w:tabs>
          <w:tab w:val="left" w:pos="862"/>
        </w:tabs>
        <w:spacing w:before="21"/>
        <w:ind w:left="862" w:hanging="360"/>
        <w:rPr>
          <w:rFonts w:ascii="Calibri" w:hAnsi="Calibri"/>
        </w:rPr>
      </w:pPr>
      <w:r>
        <w:t>De/</w:t>
      </w:r>
      <w:r w:rsidR="0076246D">
        <w:t>auteur:</w:t>
      </w:r>
      <w:r>
        <w:t xml:space="preserve"> </w:t>
      </w:r>
      <w:r>
        <w:rPr>
          <w:spacing w:val="-2"/>
        </w:rPr>
        <w:t xml:space="preserve">Services de </w:t>
      </w:r>
      <w:r>
        <w:t>la Commission</w:t>
      </w:r>
    </w:p>
    <w:p w14:paraId="3A192CC7" w14:textId="77777777" w:rsidR="00D66134" w:rsidRDefault="00B56B8E">
      <w:pPr>
        <w:pStyle w:val="ListParagraph"/>
        <w:numPr>
          <w:ilvl w:val="0"/>
          <w:numId w:val="1"/>
        </w:numPr>
        <w:tabs>
          <w:tab w:val="left" w:pos="862"/>
        </w:tabs>
        <w:ind w:left="862" w:hanging="360"/>
        <w:rPr>
          <w:rFonts w:ascii="Calibri" w:hAnsi="Calibri"/>
        </w:rPr>
      </w:pPr>
      <w:r>
        <w:t xml:space="preserve">A : </w:t>
      </w:r>
      <w:hyperlink r:id="rId58">
        <w:r>
          <w:rPr>
            <w:color w:val="05037E"/>
            <w:u w:val="single" w:color="05037E"/>
          </w:rPr>
          <w:t xml:space="preserve">Groupe de coordination sur les </w:t>
        </w:r>
        <w:r>
          <w:rPr>
            <w:color w:val="05037E"/>
            <w:spacing w:val="-2"/>
            <w:u w:val="single" w:color="05037E"/>
          </w:rPr>
          <w:t>migrations</w:t>
        </w:r>
      </w:hyperlink>
    </w:p>
    <w:p w14:paraId="72D79C24" w14:textId="0A5164E1" w:rsidR="00D66134" w:rsidRDefault="00B56B8E">
      <w:pPr>
        <w:pStyle w:val="ListParagraph"/>
        <w:numPr>
          <w:ilvl w:val="0"/>
          <w:numId w:val="1"/>
        </w:numPr>
        <w:tabs>
          <w:tab w:val="left" w:pos="861"/>
        </w:tabs>
        <w:spacing w:before="20"/>
        <w:rPr>
          <w:rFonts w:ascii="Calibri" w:hAnsi="Calibri"/>
        </w:rPr>
      </w:pPr>
      <w:r>
        <w:t xml:space="preserve">Date du </w:t>
      </w:r>
      <w:r w:rsidR="0076246D">
        <w:t>document:</w:t>
      </w:r>
      <w:r>
        <w:t xml:space="preserve"> 3 décembre </w:t>
      </w:r>
      <w:r>
        <w:rPr>
          <w:spacing w:val="-4"/>
        </w:rPr>
        <w:t>2021</w:t>
      </w:r>
    </w:p>
    <w:p w14:paraId="548E06B7" w14:textId="77777777" w:rsidR="00D66134" w:rsidRDefault="00D66134">
      <w:pPr>
        <w:pStyle w:val="ListParagraph"/>
        <w:rPr>
          <w:rFonts w:ascii="Calibri" w:hAnsi="Calibri"/>
        </w:rPr>
        <w:sectPr w:rsidR="00D66134">
          <w:pgSz w:w="11910" w:h="16840"/>
          <w:pgMar w:top="1320" w:right="1275" w:bottom="1960" w:left="1275" w:header="0" w:footer="1766" w:gutter="0"/>
          <w:cols w:space="720"/>
        </w:sectPr>
      </w:pPr>
    </w:p>
    <w:p w14:paraId="67A47B36" w14:textId="77777777" w:rsidR="00D66134" w:rsidRDefault="00B56B8E">
      <w:pPr>
        <w:pStyle w:val="Heading2"/>
        <w:spacing w:before="78"/>
      </w:pPr>
      <w:bookmarkStart w:id="10" w:name="Migration_partnerships"/>
      <w:bookmarkStart w:id="11" w:name="_bookmark5"/>
      <w:bookmarkEnd w:id="10"/>
      <w:bookmarkEnd w:id="11"/>
      <w:r>
        <w:rPr>
          <w:spacing w:val="-2"/>
        </w:rPr>
        <w:t xml:space="preserve">Partenariats </w:t>
      </w:r>
      <w:r>
        <w:t>migratoires</w:t>
      </w:r>
    </w:p>
    <w:p w14:paraId="2C17B391" w14:textId="77777777" w:rsidR="00D66134" w:rsidRDefault="00B56B8E">
      <w:pPr>
        <w:pStyle w:val="BodyText"/>
        <w:spacing w:before="180"/>
      </w:pPr>
      <w:hyperlink r:id="rId59">
        <w:r>
          <w:rPr>
            <w:color w:val="05037E"/>
            <w:u w:val="single" w:color="05037E"/>
          </w:rPr>
          <w:t xml:space="preserve">Soutien de l'UE à l'immigration légale, à la mobilité et aux partenariats de compétences avec les </w:t>
        </w:r>
        <w:r>
          <w:rPr>
            <w:color w:val="05037E"/>
            <w:spacing w:val="-2"/>
            <w:u w:val="single" w:color="05037E"/>
          </w:rPr>
          <w:t>pays d'</w:t>
        </w:r>
        <w:r>
          <w:rPr>
            <w:color w:val="05037E"/>
            <w:u w:val="single" w:color="05037E"/>
          </w:rPr>
          <w:t>Afrique du Nord</w:t>
        </w:r>
      </w:hyperlink>
    </w:p>
    <w:p w14:paraId="24507933" w14:textId="77777777" w:rsidR="00D66134" w:rsidRDefault="00B56B8E">
      <w:pPr>
        <w:pStyle w:val="ListParagraph"/>
        <w:numPr>
          <w:ilvl w:val="0"/>
          <w:numId w:val="1"/>
        </w:numPr>
        <w:tabs>
          <w:tab w:val="left" w:pos="861"/>
        </w:tabs>
        <w:spacing w:before="183"/>
        <w:rPr>
          <w:rFonts w:ascii="Calibri" w:hAnsi="Calibri"/>
        </w:rPr>
      </w:pPr>
      <w:r>
        <w:rPr>
          <w:spacing w:val="-2"/>
        </w:rPr>
        <w:t xml:space="preserve">Points </w:t>
      </w:r>
      <w:r>
        <w:t>clés</w:t>
      </w:r>
    </w:p>
    <w:p w14:paraId="3E4663DB" w14:textId="1976E800" w:rsidR="00D66134" w:rsidRDefault="00B56B8E">
      <w:pPr>
        <w:pStyle w:val="ListParagraph"/>
        <w:numPr>
          <w:ilvl w:val="1"/>
          <w:numId w:val="1"/>
        </w:numPr>
        <w:tabs>
          <w:tab w:val="left" w:pos="1579"/>
          <w:tab w:val="left" w:pos="1581"/>
        </w:tabs>
        <w:spacing w:before="9" w:line="254" w:lineRule="auto"/>
        <w:ind w:right="323"/>
      </w:pPr>
      <w:r>
        <w:t xml:space="preserve">L'objectif est de s'appuyer sur d'autres </w:t>
      </w:r>
      <w:r w:rsidR="00F74779">
        <w:t xml:space="preserve">projets, notamment THAMM, mais « </w:t>
      </w:r>
      <w:r>
        <w:t xml:space="preserve">il se concentrera davantage sur </w:t>
      </w:r>
      <w:r>
        <w:rPr>
          <w:spacing w:val="-4"/>
        </w:rPr>
        <w:t xml:space="preserve">le </w:t>
      </w:r>
      <w:r>
        <w:t xml:space="preserve">secteur du développement du capital </w:t>
      </w:r>
      <w:r w:rsidR="00F74779">
        <w:t>humain;</w:t>
      </w:r>
      <w:r>
        <w:t xml:space="preserve"> il encouragera une plus grande participation du secteur </w:t>
      </w:r>
      <w:r w:rsidR="00F74779">
        <w:t>privé;</w:t>
      </w:r>
      <w:r>
        <w:t xml:space="preserve"> il mettra en place des mécanismes de coordination plus solides dans les pays partenaires afin de renforcer l'appropriati</w:t>
      </w:r>
      <w:r w:rsidR="00F74779">
        <w:t xml:space="preserve">on par les autorités nationales </w:t>
      </w:r>
      <w:r w:rsidR="00F74779" w:rsidRPr="00200C3E">
        <w:t>»</w:t>
      </w:r>
      <w:r>
        <w:t>.</w:t>
      </w:r>
    </w:p>
    <w:p w14:paraId="2D71A998" w14:textId="77777777" w:rsidR="00D66134" w:rsidRDefault="00B56B8E">
      <w:pPr>
        <w:pStyle w:val="ListParagraph"/>
        <w:numPr>
          <w:ilvl w:val="1"/>
          <w:numId w:val="1"/>
        </w:numPr>
        <w:tabs>
          <w:tab w:val="left" w:pos="1580"/>
        </w:tabs>
        <w:spacing w:before="0" w:line="272" w:lineRule="exact"/>
        <w:ind w:left="1580" w:hanging="359"/>
      </w:pPr>
      <w:r>
        <w:t xml:space="preserve">Le budget et la durée proposés sont </w:t>
      </w:r>
      <w:r>
        <w:rPr>
          <w:spacing w:val="-2"/>
        </w:rPr>
        <w:t>censurés</w:t>
      </w:r>
    </w:p>
    <w:p w14:paraId="7C83E84F" w14:textId="7135F5BE" w:rsidR="00D66134" w:rsidRDefault="00F74779">
      <w:pPr>
        <w:pStyle w:val="ListParagraph"/>
        <w:numPr>
          <w:ilvl w:val="0"/>
          <w:numId w:val="1"/>
        </w:numPr>
        <w:tabs>
          <w:tab w:val="left" w:pos="861"/>
        </w:tabs>
        <w:spacing w:before="12"/>
        <w:ind w:hanging="360"/>
        <w:rPr>
          <w:rFonts w:ascii="Calibri" w:hAnsi="Calibri"/>
        </w:rPr>
      </w:pPr>
      <w:r>
        <w:t>De:</w:t>
      </w:r>
      <w:r w:rsidR="00B56B8E">
        <w:rPr>
          <w:spacing w:val="-2"/>
        </w:rPr>
        <w:t xml:space="preserve"> Inconnu</w:t>
      </w:r>
    </w:p>
    <w:p w14:paraId="6B741276" w14:textId="77777777" w:rsidR="00D66134" w:rsidRDefault="00B56B8E">
      <w:pPr>
        <w:pStyle w:val="ListParagraph"/>
        <w:numPr>
          <w:ilvl w:val="0"/>
          <w:numId w:val="1"/>
        </w:numPr>
        <w:tabs>
          <w:tab w:val="left" w:pos="861"/>
        </w:tabs>
        <w:ind w:hanging="360"/>
        <w:rPr>
          <w:rFonts w:ascii="Calibri" w:hAnsi="Calibri"/>
        </w:rPr>
      </w:pPr>
      <w:r>
        <w:t xml:space="preserve">A : </w:t>
      </w:r>
      <w:hyperlink r:id="rId60">
        <w:r>
          <w:rPr>
            <w:color w:val="05037E"/>
            <w:u w:val="single" w:color="05037E"/>
          </w:rPr>
          <w:t xml:space="preserve">Groupe de coordination sur les </w:t>
        </w:r>
        <w:r>
          <w:rPr>
            <w:color w:val="05037E"/>
            <w:spacing w:val="-2"/>
            <w:u w:val="single" w:color="05037E"/>
          </w:rPr>
          <w:t>migrations</w:t>
        </w:r>
      </w:hyperlink>
    </w:p>
    <w:p w14:paraId="5EF52B22" w14:textId="6CAD7ACD" w:rsidR="00D66134" w:rsidRDefault="00B56B8E">
      <w:pPr>
        <w:pStyle w:val="ListParagraph"/>
        <w:numPr>
          <w:ilvl w:val="0"/>
          <w:numId w:val="1"/>
        </w:numPr>
        <w:tabs>
          <w:tab w:val="left" w:pos="861"/>
        </w:tabs>
        <w:spacing w:before="20"/>
        <w:rPr>
          <w:rFonts w:ascii="Calibri" w:hAnsi="Calibri"/>
        </w:rPr>
      </w:pPr>
      <w:r>
        <w:t xml:space="preserve">Date du </w:t>
      </w:r>
      <w:r w:rsidR="00F74779">
        <w:t>document:</w:t>
      </w:r>
      <w:r>
        <w:t xml:space="preserve"> non daté, publié le 30 octobre </w:t>
      </w:r>
      <w:r>
        <w:rPr>
          <w:spacing w:val="-4"/>
        </w:rPr>
        <w:t>2024</w:t>
      </w:r>
    </w:p>
    <w:p w14:paraId="7E849156" w14:textId="77777777" w:rsidR="00D66134" w:rsidRDefault="00D66134">
      <w:pPr>
        <w:pStyle w:val="BodyText"/>
        <w:ind w:left="0"/>
      </w:pPr>
    </w:p>
    <w:p w14:paraId="3EC89637" w14:textId="77777777" w:rsidR="00D66134" w:rsidRDefault="00D66134">
      <w:pPr>
        <w:pStyle w:val="BodyText"/>
        <w:spacing w:before="83"/>
        <w:ind w:left="0"/>
      </w:pPr>
    </w:p>
    <w:p w14:paraId="30378D21" w14:textId="77777777" w:rsidR="00D66134" w:rsidRDefault="00B56B8E">
      <w:pPr>
        <w:pStyle w:val="BodyText"/>
        <w:ind w:left="141"/>
      </w:pPr>
      <w:hyperlink r:id="rId61">
        <w:r>
          <w:rPr>
            <w:color w:val="05037E"/>
            <w:u w:val="single" w:color="05037E"/>
          </w:rPr>
          <w:t xml:space="preserve">Présentation : Coopération entre Frontex et les pays tiers en </w:t>
        </w:r>
        <w:r>
          <w:rPr>
            <w:color w:val="05037E"/>
            <w:spacing w:val="-4"/>
            <w:u w:val="single" w:color="05037E"/>
          </w:rPr>
          <w:t>2023</w:t>
        </w:r>
      </w:hyperlink>
    </w:p>
    <w:p w14:paraId="5E2DF9F6" w14:textId="77777777" w:rsidR="00D66134" w:rsidRDefault="00B56B8E">
      <w:pPr>
        <w:pStyle w:val="ListParagraph"/>
        <w:numPr>
          <w:ilvl w:val="0"/>
          <w:numId w:val="1"/>
        </w:numPr>
        <w:tabs>
          <w:tab w:val="left" w:pos="861"/>
        </w:tabs>
        <w:spacing w:before="186"/>
        <w:rPr>
          <w:rFonts w:ascii="Calibri" w:hAnsi="Calibri"/>
        </w:rPr>
      </w:pPr>
      <w:r>
        <w:rPr>
          <w:spacing w:val="-2"/>
        </w:rPr>
        <w:t xml:space="preserve">Points </w:t>
      </w:r>
      <w:r>
        <w:t>clés</w:t>
      </w:r>
    </w:p>
    <w:p w14:paraId="24DB3D71" w14:textId="6B937F46" w:rsidR="00D66134" w:rsidRDefault="00B56B8E">
      <w:pPr>
        <w:pStyle w:val="ListParagraph"/>
        <w:numPr>
          <w:ilvl w:val="1"/>
          <w:numId w:val="1"/>
        </w:numPr>
        <w:tabs>
          <w:tab w:val="left" w:pos="1579"/>
          <w:tab w:val="left" w:pos="1581"/>
        </w:tabs>
        <w:spacing w:before="5" w:line="249" w:lineRule="auto"/>
        <w:ind w:right="451"/>
      </w:pPr>
      <w:r>
        <w:t>Donne un aperçu du travail de Frontex avec les États non membr</w:t>
      </w:r>
      <w:r w:rsidR="00F74779">
        <w:t xml:space="preserve">es de l'UE en 2023, notant des « </w:t>
      </w:r>
      <w:r>
        <w:t>r</w:t>
      </w:r>
      <w:r w:rsidR="00F74779">
        <w:t xml:space="preserve">ésultats opérationnels concrets </w:t>
      </w:r>
      <w:r w:rsidR="00F74779" w:rsidRPr="00200C3E">
        <w:t>»</w:t>
      </w:r>
      <w:r>
        <w:t xml:space="preserve"> et une augmentation des déportations soutenues </w:t>
      </w:r>
      <w:r>
        <w:rPr>
          <w:spacing w:val="-5"/>
        </w:rPr>
        <w:t xml:space="preserve">par </w:t>
      </w:r>
      <w:r>
        <w:t>Frontex de 60 % comme résultats clés.</w:t>
      </w:r>
    </w:p>
    <w:p w14:paraId="09D0E12F" w14:textId="4D2DAA7D" w:rsidR="00D66134" w:rsidRDefault="00B56B8E">
      <w:pPr>
        <w:pStyle w:val="ListParagraph"/>
        <w:numPr>
          <w:ilvl w:val="1"/>
          <w:numId w:val="1"/>
        </w:numPr>
        <w:tabs>
          <w:tab w:val="left" w:pos="1580"/>
        </w:tabs>
        <w:spacing w:before="12" w:line="272" w:lineRule="exact"/>
        <w:ind w:left="1580" w:hanging="359"/>
      </w:pPr>
      <w:r>
        <w:t>Les pays en phase de</w:t>
      </w:r>
      <w:r w:rsidR="00F74779">
        <w:t xml:space="preserve"> préadhésion bénéficient d’une « </w:t>
      </w:r>
      <w:r>
        <w:t xml:space="preserve">priorité absolue dans les </w:t>
      </w:r>
      <w:r>
        <w:rPr>
          <w:spacing w:val="-2"/>
        </w:rPr>
        <w:t xml:space="preserve">dimensions </w:t>
      </w:r>
      <w:r>
        <w:t>extérieures</w:t>
      </w:r>
      <w:r w:rsidR="00F74779">
        <w:t xml:space="preserve"> </w:t>
      </w:r>
      <w:r w:rsidR="00F74779" w:rsidRPr="00200C3E">
        <w:t>»</w:t>
      </w:r>
      <w:r>
        <w:rPr>
          <w:spacing w:val="-2"/>
        </w:rPr>
        <w:t>.</w:t>
      </w:r>
    </w:p>
    <w:p w14:paraId="2D5B8657" w14:textId="761B09D7" w:rsidR="00D66134" w:rsidRDefault="00B56B8E">
      <w:pPr>
        <w:pStyle w:val="ListParagraph"/>
        <w:numPr>
          <w:ilvl w:val="1"/>
          <w:numId w:val="1"/>
        </w:numPr>
        <w:tabs>
          <w:tab w:val="left" w:pos="1579"/>
          <w:tab w:val="left" w:pos="1581"/>
        </w:tabs>
        <w:spacing w:before="0"/>
        <w:ind w:right="265"/>
      </w:pPr>
      <w:r>
        <w:t>Ne</w:t>
      </w:r>
      <w:r w:rsidR="00F74779">
        <w:t xml:space="preserve">uf officiers de liaison « retour </w:t>
      </w:r>
      <w:r w:rsidR="00F74779" w:rsidRPr="00200C3E">
        <w:t>»</w:t>
      </w:r>
      <w:r>
        <w:t xml:space="preserve"> de l'UE ont été déployés en 2023, couvrant 13 États non membres de l'UE différents.</w:t>
      </w:r>
    </w:p>
    <w:p w14:paraId="2B3D8F46" w14:textId="6D986DB9" w:rsidR="00D66134" w:rsidRDefault="00F74779">
      <w:pPr>
        <w:pStyle w:val="ListParagraph"/>
        <w:numPr>
          <w:ilvl w:val="0"/>
          <w:numId w:val="1"/>
        </w:numPr>
        <w:tabs>
          <w:tab w:val="left" w:pos="861"/>
        </w:tabs>
        <w:spacing w:before="33"/>
        <w:ind w:hanging="360"/>
        <w:rPr>
          <w:rFonts w:ascii="Calibri" w:hAnsi="Calibri"/>
        </w:rPr>
      </w:pPr>
      <w:r>
        <w:t>De:</w:t>
      </w:r>
      <w:r w:rsidR="00B56B8E">
        <w:rPr>
          <w:spacing w:val="-2"/>
        </w:rPr>
        <w:t xml:space="preserve"> Frontex</w:t>
      </w:r>
    </w:p>
    <w:p w14:paraId="73AE37D5" w14:textId="77777777" w:rsidR="00D66134" w:rsidRDefault="00B56B8E">
      <w:pPr>
        <w:pStyle w:val="ListParagraph"/>
        <w:numPr>
          <w:ilvl w:val="0"/>
          <w:numId w:val="1"/>
        </w:numPr>
        <w:tabs>
          <w:tab w:val="left" w:pos="861"/>
        </w:tabs>
        <w:ind w:hanging="360"/>
        <w:rPr>
          <w:rFonts w:ascii="Calibri" w:hAnsi="Calibri"/>
        </w:rPr>
      </w:pPr>
      <w:r>
        <w:t xml:space="preserve">A : </w:t>
      </w:r>
      <w:hyperlink r:id="rId62">
        <w:r>
          <w:rPr>
            <w:color w:val="05037E"/>
            <w:u w:val="single" w:color="05037E"/>
          </w:rPr>
          <w:t xml:space="preserve">Groupe de travail sur les aspects extérieurs de l'asile et de la migration </w:t>
        </w:r>
        <w:r>
          <w:rPr>
            <w:color w:val="05037E"/>
            <w:spacing w:val="-2"/>
            <w:u w:val="single" w:color="05037E"/>
          </w:rPr>
          <w:t>(EMWP)</w:t>
        </w:r>
      </w:hyperlink>
    </w:p>
    <w:p w14:paraId="7DA0EA8D" w14:textId="40CF40F9" w:rsidR="00D66134" w:rsidRDefault="00B56B8E">
      <w:pPr>
        <w:pStyle w:val="ListParagraph"/>
        <w:numPr>
          <w:ilvl w:val="0"/>
          <w:numId w:val="1"/>
        </w:numPr>
        <w:tabs>
          <w:tab w:val="left" w:pos="861"/>
        </w:tabs>
        <w:spacing w:before="20"/>
        <w:rPr>
          <w:rFonts w:ascii="Calibri" w:hAnsi="Calibri"/>
        </w:rPr>
      </w:pPr>
      <w:r>
        <w:t xml:space="preserve">Date du </w:t>
      </w:r>
      <w:r w:rsidR="00F74779">
        <w:t>document:</w:t>
      </w:r>
      <w:r>
        <w:t xml:space="preserve"> 20 septembre </w:t>
      </w:r>
      <w:r>
        <w:rPr>
          <w:spacing w:val="-4"/>
        </w:rPr>
        <w:t>2024</w:t>
      </w:r>
    </w:p>
    <w:p w14:paraId="21530CF3" w14:textId="03FBA85B" w:rsidR="00D66134" w:rsidRDefault="00B56B8E">
      <w:pPr>
        <w:pStyle w:val="ListParagraph"/>
        <w:numPr>
          <w:ilvl w:val="0"/>
          <w:numId w:val="1"/>
        </w:numPr>
        <w:tabs>
          <w:tab w:val="left" w:pos="861"/>
        </w:tabs>
        <w:ind w:hanging="360"/>
        <w:rPr>
          <w:rFonts w:ascii="Calibri" w:hAnsi="Calibri"/>
        </w:rPr>
      </w:pPr>
      <w:r>
        <w:t xml:space="preserve">Numéro de </w:t>
      </w:r>
      <w:r w:rsidR="00F74779">
        <w:t>document:</w:t>
      </w:r>
      <w:r>
        <w:t xml:space="preserve"> WK 11796/2024 </w:t>
      </w:r>
      <w:r>
        <w:rPr>
          <w:spacing w:val="-4"/>
        </w:rPr>
        <w:t>INIT</w:t>
      </w:r>
    </w:p>
    <w:p w14:paraId="0A248525" w14:textId="19DD9573" w:rsidR="00D66134" w:rsidRDefault="00F74779">
      <w:pPr>
        <w:pStyle w:val="ListParagraph"/>
        <w:numPr>
          <w:ilvl w:val="0"/>
          <w:numId w:val="1"/>
        </w:numPr>
        <w:tabs>
          <w:tab w:val="left" w:pos="861"/>
        </w:tabs>
        <w:spacing w:before="20"/>
        <w:ind w:hanging="360"/>
        <w:rPr>
          <w:rFonts w:ascii="Calibri" w:hAnsi="Calibri"/>
        </w:rPr>
      </w:pPr>
      <w:r>
        <w:t>Classification:</w:t>
      </w:r>
      <w:r w:rsidR="00B56B8E">
        <w:t xml:space="preserve"> </w:t>
      </w:r>
      <w:r w:rsidR="00B56B8E">
        <w:rPr>
          <w:spacing w:val="-2"/>
        </w:rPr>
        <w:t>LIMITE</w:t>
      </w:r>
    </w:p>
    <w:p w14:paraId="36149F21" w14:textId="77777777" w:rsidR="00D66134" w:rsidRDefault="00D66134">
      <w:pPr>
        <w:pStyle w:val="BodyText"/>
        <w:ind w:left="0"/>
      </w:pPr>
    </w:p>
    <w:p w14:paraId="502981CA" w14:textId="77777777" w:rsidR="00D66134" w:rsidRDefault="00D66134">
      <w:pPr>
        <w:pStyle w:val="BodyText"/>
        <w:spacing w:before="83"/>
        <w:ind w:left="0"/>
      </w:pPr>
    </w:p>
    <w:p w14:paraId="63650330" w14:textId="430330A5" w:rsidR="00D66134" w:rsidRDefault="00B56B8E">
      <w:pPr>
        <w:pStyle w:val="BodyText"/>
        <w:spacing w:line="288" w:lineRule="auto"/>
        <w:ind w:right="214"/>
      </w:pPr>
      <w:hyperlink r:id="rId63">
        <w:r>
          <w:rPr>
            <w:color w:val="05037E"/>
            <w:u w:val="single" w:color="05037E"/>
          </w:rPr>
          <w:t>Algérie, Ég</w:t>
        </w:r>
        <w:r w:rsidR="00F74779">
          <w:rPr>
            <w:color w:val="05037E"/>
            <w:u w:val="single" w:color="05037E"/>
          </w:rPr>
          <w:t xml:space="preserve">ypte, Libye, Maroc et Tunisie, </w:t>
        </w:r>
        <w:r w:rsidR="00F74779">
          <w:t xml:space="preserve">« </w:t>
        </w:r>
        <w:r>
          <w:rPr>
            <w:color w:val="05037E"/>
            <w:u w:val="single" w:color="05037E"/>
          </w:rPr>
          <w:t xml:space="preserve">Vers une approche holistique de la </w:t>
        </w:r>
      </w:hyperlink>
      <w:hyperlink r:id="rId64">
        <w:r>
          <w:rPr>
            <w:color w:val="05037E"/>
            <w:u w:val="single" w:color="05037E"/>
          </w:rPr>
          <w:t xml:space="preserve">gouvernance des migrations de </w:t>
        </w:r>
      </w:hyperlink>
      <w:hyperlink r:id="rId65">
        <w:r>
          <w:rPr>
            <w:color w:val="05037E"/>
            <w:u w:val="single" w:color="05037E"/>
          </w:rPr>
          <w:t xml:space="preserve">main-d'œuvre </w:t>
        </w:r>
      </w:hyperlink>
      <w:hyperlink r:id="rId66">
        <w:r>
          <w:rPr>
            <w:color w:val="05037E"/>
            <w:u w:val="single" w:color="05037E"/>
          </w:rPr>
          <w:t xml:space="preserve">et de la mobilité des </w:t>
        </w:r>
        <w:r w:rsidR="00F74779">
          <w:rPr>
            <w:color w:val="05037E"/>
            <w:u w:val="single" w:color="05037E"/>
          </w:rPr>
          <w:t xml:space="preserve">travailleurs en Afrique du Nord </w:t>
        </w:r>
        <w:r w:rsidR="00F74779" w:rsidRPr="00200C3E">
          <w:t>»</w:t>
        </w:r>
        <w:r>
          <w:rPr>
            <w:color w:val="05037E"/>
            <w:u w:val="single" w:color="05037E"/>
          </w:rPr>
          <w:t xml:space="preserve"> (THAMM III)</w:t>
        </w:r>
      </w:hyperlink>
    </w:p>
    <w:p w14:paraId="35383C5A" w14:textId="77777777" w:rsidR="00D66134" w:rsidRDefault="00B56B8E">
      <w:pPr>
        <w:pStyle w:val="ListParagraph"/>
        <w:numPr>
          <w:ilvl w:val="0"/>
          <w:numId w:val="1"/>
        </w:numPr>
        <w:tabs>
          <w:tab w:val="left" w:pos="861"/>
        </w:tabs>
        <w:spacing w:before="133"/>
        <w:rPr>
          <w:rFonts w:ascii="Calibri" w:hAnsi="Calibri"/>
        </w:rPr>
      </w:pPr>
      <w:r>
        <w:rPr>
          <w:spacing w:val="-2"/>
        </w:rPr>
        <w:t xml:space="preserve">Points </w:t>
      </w:r>
      <w:r>
        <w:t>clés</w:t>
      </w:r>
    </w:p>
    <w:p w14:paraId="49702276" w14:textId="7E890A0E" w:rsidR="00D66134" w:rsidRDefault="000D47CB" w:rsidP="00E65179">
      <w:pPr>
        <w:pStyle w:val="ListParagraph"/>
        <w:numPr>
          <w:ilvl w:val="1"/>
          <w:numId w:val="1"/>
        </w:numPr>
        <w:tabs>
          <w:tab w:val="left" w:pos="1579"/>
          <w:tab w:val="left" w:pos="1581"/>
        </w:tabs>
        <w:spacing w:before="9" w:line="252" w:lineRule="auto"/>
        <w:ind w:right="417"/>
      </w:pPr>
      <w:r>
        <w:t>P</w:t>
      </w:r>
      <w:r w:rsidR="00B56B8E">
        <w:t>ropose une action de 5 millio</w:t>
      </w:r>
      <w:r w:rsidR="00F74779">
        <w:t xml:space="preserve">ns d'euros pour promouvoir les </w:t>
      </w:r>
      <w:r w:rsidR="00E65179">
        <w:t xml:space="preserve">« voies de migration légales </w:t>
      </w:r>
      <w:r w:rsidR="00E65179" w:rsidRPr="00E65179">
        <w:t>»</w:t>
      </w:r>
      <w:r w:rsidR="00B56B8E">
        <w:t xml:space="preserve"> approuvées par l'UE entre les pays d'Afrique du Nord et les États membres de l'UE par le biais de programmes de formation et de mobilité, dans le prolongement des projets pilotes et des phases précédentes (THAMM I et THAMM II).</w:t>
      </w:r>
    </w:p>
    <w:p w14:paraId="6DE6D391" w14:textId="24C54B36" w:rsidR="00D66134" w:rsidRDefault="00B56B8E" w:rsidP="00E65179">
      <w:pPr>
        <w:pStyle w:val="ListParagraph"/>
        <w:numPr>
          <w:ilvl w:val="1"/>
          <w:numId w:val="1"/>
        </w:numPr>
        <w:tabs>
          <w:tab w:val="left" w:pos="1579"/>
          <w:tab w:val="left" w:pos="1581"/>
        </w:tabs>
        <w:spacing w:before="10" w:line="252" w:lineRule="auto"/>
        <w:ind w:right="189"/>
      </w:pPr>
      <w:r>
        <w:t>Il est question de continuer à faciliter la coopération avec les pays d'Afrique du Nord en matière de migration de la main-d'œuvre et de programmes de mobilité en soutenant la formation professionnelle, l'adéquation des compétences et le renforcemen</w:t>
      </w:r>
      <w:r w:rsidR="00F74779">
        <w:t xml:space="preserve">t des institutions, qui seront « </w:t>
      </w:r>
      <w:r>
        <w:rPr>
          <w:spacing w:val="-4"/>
        </w:rPr>
        <w:t xml:space="preserve">mutuellement </w:t>
      </w:r>
      <w:r>
        <w:t>bénéfiques pour les sociétés et l</w:t>
      </w:r>
      <w:r w:rsidR="00E65179">
        <w:t xml:space="preserve">es marchés du travail en Europe </w:t>
      </w:r>
      <w:r w:rsidR="00E65179" w:rsidRPr="00E65179">
        <w:t>»</w:t>
      </w:r>
      <w:r>
        <w:t>.</w:t>
      </w:r>
    </w:p>
    <w:p w14:paraId="4B4F658D" w14:textId="0B141935" w:rsidR="00D66134" w:rsidRDefault="00B56B8E" w:rsidP="00E65179">
      <w:pPr>
        <w:pStyle w:val="ListParagraph"/>
        <w:numPr>
          <w:ilvl w:val="1"/>
          <w:numId w:val="1"/>
        </w:numPr>
        <w:tabs>
          <w:tab w:val="left" w:pos="1579"/>
          <w:tab w:val="left" w:pos="1581"/>
        </w:tabs>
        <w:spacing w:before="9" w:line="254" w:lineRule="auto"/>
        <w:ind w:right="460"/>
      </w:pPr>
      <w:r>
        <w:t>Comme pour les initiatives THAMM précédentes, aucune mention n'est faite de l'assouplissement de la politique de l'UE en matière de visas (seule une mention passagère de la collaboration avec le</w:t>
      </w:r>
      <w:r w:rsidR="00F74779">
        <w:t xml:space="preserve">s consulats et du soutien à la  « </w:t>
      </w:r>
      <w:r w:rsidR="00E65179">
        <w:t xml:space="preserve">gestion de la migration légale </w:t>
      </w:r>
      <w:r w:rsidR="00E65179" w:rsidRPr="00E65179">
        <w:t>»</w:t>
      </w:r>
      <w:r>
        <w:t>) - les activités proposées se concentrent sur l'analyse des besoins du marché du travail de l'UE, la mise en place de formations professionnelles et l'encouragement des partenariats d'échange entre les institutions de l'UE et de l'Afrique du Nord.</w:t>
      </w:r>
    </w:p>
    <w:p w14:paraId="3FF7A013" w14:textId="77777777" w:rsidR="00D66134" w:rsidRDefault="00D66134">
      <w:pPr>
        <w:pStyle w:val="ListParagraph"/>
        <w:spacing w:line="254" w:lineRule="auto"/>
        <w:sectPr w:rsidR="00D66134">
          <w:pgSz w:w="11910" w:h="16840"/>
          <w:pgMar w:top="1320" w:right="1275" w:bottom="1960" w:left="1275" w:header="0" w:footer="1766" w:gutter="0"/>
          <w:cols w:space="720"/>
        </w:sectPr>
      </w:pPr>
    </w:p>
    <w:p w14:paraId="19C4C82E" w14:textId="16E406B6" w:rsidR="00D66134" w:rsidRDefault="00B56B8E">
      <w:pPr>
        <w:pStyle w:val="ListParagraph"/>
        <w:numPr>
          <w:ilvl w:val="0"/>
          <w:numId w:val="1"/>
        </w:numPr>
        <w:tabs>
          <w:tab w:val="left" w:pos="860"/>
        </w:tabs>
        <w:spacing w:before="91"/>
        <w:ind w:left="860" w:hanging="360"/>
        <w:rPr>
          <w:rFonts w:ascii="Calibri" w:hAnsi="Calibri"/>
        </w:rPr>
      </w:pPr>
      <w:r>
        <w:t>De/</w:t>
      </w:r>
      <w:r w:rsidR="00E65179">
        <w:t>auteur:</w:t>
      </w:r>
      <w:r>
        <w:t xml:space="preserve"> </w:t>
      </w:r>
      <w:r>
        <w:rPr>
          <w:spacing w:val="-2"/>
        </w:rPr>
        <w:t xml:space="preserve">Services de </w:t>
      </w:r>
      <w:r>
        <w:t>la Commission</w:t>
      </w:r>
    </w:p>
    <w:p w14:paraId="2D4046EF" w14:textId="77777777" w:rsidR="00D66134" w:rsidRDefault="00B56B8E">
      <w:pPr>
        <w:pStyle w:val="ListParagraph"/>
        <w:numPr>
          <w:ilvl w:val="0"/>
          <w:numId w:val="1"/>
        </w:numPr>
        <w:tabs>
          <w:tab w:val="left" w:pos="861"/>
        </w:tabs>
        <w:ind w:hanging="360"/>
        <w:rPr>
          <w:rFonts w:ascii="Calibri" w:hAnsi="Calibri"/>
        </w:rPr>
      </w:pPr>
      <w:r>
        <w:t xml:space="preserve">A : </w:t>
      </w:r>
      <w:hyperlink r:id="rId67">
        <w:r>
          <w:rPr>
            <w:color w:val="05037E"/>
            <w:u w:val="single" w:color="05037E"/>
          </w:rPr>
          <w:t xml:space="preserve">Groupe de coordination sur les </w:t>
        </w:r>
        <w:r>
          <w:rPr>
            <w:color w:val="05037E"/>
            <w:spacing w:val="-2"/>
            <w:u w:val="single" w:color="05037E"/>
          </w:rPr>
          <w:t>migrations</w:t>
        </w:r>
      </w:hyperlink>
    </w:p>
    <w:p w14:paraId="15EDF779" w14:textId="7A71DDD8" w:rsidR="00D66134" w:rsidRDefault="00B56B8E">
      <w:pPr>
        <w:pStyle w:val="ListParagraph"/>
        <w:numPr>
          <w:ilvl w:val="0"/>
          <w:numId w:val="1"/>
        </w:numPr>
        <w:tabs>
          <w:tab w:val="left" w:pos="861"/>
        </w:tabs>
        <w:spacing w:before="20"/>
        <w:rPr>
          <w:rFonts w:ascii="Calibri" w:hAnsi="Calibri"/>
        </w:rPr>
      </w:pPr>
      <w:r>
        <w:t xml:space="preserve">Date du </w:t>
      </w:r>
      <w:r w:rsidR="00E65179">
        <w:t>document:</w:t>
      </w:r>
      <w:r>
        <w:t xml:space="preserve"> 2 août </w:t>
      </w:r>
      <w:r>
        <w:rPr>
          <w:spacing w:val="-4"/>
        </w:rPr>
        <w:t>2021</w:t>
      </w:r>
    </w:p>
    <w:p w14:paraId="653B9CB8" w14:textId="77777777" w:rsidR="00D66134" w:rsidRDefault="00D66134">
      <w:pPr>
        <w:pStyle w:val="BodyText"/>
        <w:ind w:left="0"/>
      </w:pPr>
    </w:p>
    <w:p w14:paraId="3AF82ECA" w14:textId="77777777" w:rsidR="00D66134" w:rsidRDefault="00D66134">
      <w:pPr>
        <w:pStyle w:val="BodyText"/>
        <w:ind w:left="0"/>
      </w:pPr>
    </w:p>
    <w:p w14:paraId="5E27BD18" w14:textId="77777777" w:rsidR="00D66134" w:rsidRDefault="00D66134">
      <w:pPr>
        <w:pStyle w:val="BodyText"/>
        <w:spacing w:before="71"/>
        <w:ind w:left="0"/>
      </w:pPr>
    </w:p>
    <w:p w14:paraId="358E2706" w14:textId="77777777" w:rsidR="00D66134" w:rsidRDefault="00B56B8E">
      <w:pPr>
        <w:pStyle w:val="Heading2"/>
      </w:pPr>
      <w:bookmarkStart w:id="12" w:name="Other"/>
      <w:bookmarkStart w:id="13" w:name="_bookmark6"/>
      <w:bookmarkEnd w:id="12"/>
      <w:bookmarkEnd w:id="13"/>
      <w:r>
        <w:rPr>
          <w:spacing w:val="-2"/>
        </w:rPr>
        <w:t>Autres</w:t>
      </w:r>
    </w:p>
    <w:p w14:paraId="297BDAD6" w14:textId="77777777" w:rsidR="00D66134" w:rsidRDefault="00B56B8E">
      <w:pPr>
        <w:pStyle w:val="BodyText"/>
        <w:spacing w:before="180" w:line="288" w:lineRule="auto"/>
      </w:pPr>
      <w:hyperlink r:id="rId68">
        <w:r>
          <w:rPr>
            <w:color w:val="05037E"/>
            <w:u w:val="single" w:color="05037E"/>
          </w:rPr>
          <w:t xml:space="preserve">Renforcer la protection et la résilience des réfugiés, des demandeurs d'asile et des migrants </w:t>
        </w:r>
      </w:hyperlink>
      <w:hyperlink r:id="rId69">
        <w:r>
          <w:rPr>
            <w:color w:val="05037E"/>
            <w:u w:val="single" w:color="05037E"/>
          </w:rPr>
          <w:t xml:space="preserve">en situation de </w:t>
        </w:r>
      </w:hyperlink>
      <w:hyperlink r:id="rId70">
        <w:r>
          <w:rPr>
            <w:color w:val="05037E"/>
            <w:u w:val="single" w:color="05037E"/>
          </w:rPr>
          <w:t xml:space="preserve">vulnérabilité </w:t>
        </w:r>
      </w:hyperlink>
      <w:hyperlink r:id="rId71">
        <w:r>
          <w:rPr>
            <w:color w:val="05037E"/>
            <w:u w:val="single" w:color="05037E"/>
          </w:rPr>
          <w:t>en Égypte</w:t>
        </w:r>
      </w:hyperlink>
    </w:p>
    <w:p w14:paraId="0F870C6D" w14:textId="240CC1B3" w:rsidR="00D66134" w:rsidRDefault="00B56B8E">
      <w:pPr>
        <w:pStyle w:val="ListParagraph"/>
        <w:numPr>
          <w:ilvl w:val="0"/>
          <w:numId w:val="1"/>
        </w:numPr>
        <w:tabs>
          <w:tab w:val="left" w:pos="861"/>
        </w:tabs>
        <w:spacing w:before="134"/>
        <w:rPr>
          <w:rFonts w:ascii="Calibri" w:hAnsi="Calibri"/>
        </w:rPr>
      </w:pPr>
      <w:r>
        <w:rPr>
          <w:spacing w:val="-2"/>
        </w:rPr>
        <w:t xml:space="preserve">Points </w:t>
      </w:r>
      <w:r>
        <w:t>clés</w:t>
      </w:r>
      <w:r w:rsidR="000D47CB">
        <w:t>:</w:t>
      </w:r>
    </w:p>
    <w:p w14:paraId="4AF46C6B" w14:textId="4781C740" w:rsidR="00D66134" w:rsidRDefault="00E65179" w:rsidP="00E65179">
      <w:pPr>
        <w:pStyle w:val="ListParagraph"/>
        <w:numPr>
          <w:ilvl w:val="1"/>
          <w:numId w:val="1"/>
        </w:numPr>
        <w:tabs>
          <w:tab w:val="left" w:pos="1579"/>
          <w:tab w:val="left" w:pos="1581"/>
        </w:tabs>
        <w:spacing w:before="8" w:line="249" w:lineRule="auto"/>
        <w:ind w:right="339"/>
      </w:pPr>
      <w:r>
        <w:t xml:space="preserve">Un projet en Egypte pour « </w:t>
      </w:r>
      <w:r w:rsidR="00B56B8E">
        <w:t>la fourniture de services de base et l'accès aux services de base, principalement la santé et l'éducation la protection des mineurs non accompagnés et des jeunes adultes par le biais du regroupement familial e</w:t>
      </w:r>
      <w:r>
        <w:t xml:space="preserve">t de la protection de l'enfance </w:t>
      </w:r>
      <w:r w:rsidRPr="00E65179">
        <w:t>»</w:t>
      </w:r>
      <w:r w:rsidR="00B56B8E">
        <w:t>.</w:t>
      </w:r>
    </w:p>
    <w:p w14:paraId="1DF00EE7" w14:textId="77777777" w:rsidR="00D66134" w:rsidRDefault="00B56B8E">
      <w:pPr>
        <w:pStyle w:val="ListParagraph"/>
        <w:numPr>
          <w:ilvl w:val="1"/>
          <w:numId w:val="1"/>
        </w:numPr>
        <w:tabs>
          <w:tab w:val="left" w:pos="1580"/>
        </w:tabs>
        <w:spacing w:before="9"/>
        <w:ind w:left="1580" w:hanging="359"/>
      </w:pPr>
      <w:r>
        <w:t xml:space="preserve">Le budget et la durée proposée sont tous deux </w:t>
      </w:r>
      <w:r>
        <w:rPr>
          <w:spacing w:val="-2"/>
        </w:rPr>
        <w:t>censurés</w:t>
      </w:r>
    </w:p>
    <w:p w14:paraId="1D787914" w14:textId="29704703" w:rsidR="00D66134" w:rsidRDefault="00E65179">
      <w:pPr>
        <w:pStyle w:val="ListParagraph"/>
        <w:numPr>
          <w:ilvl w:val="0"/>
          <w:numId w:val="1"/>
        </w:numPr>
        <w:tabs>
          <w:tab w:val="left" w:pos="861"/>
        </w:tabs>
        <w:spacing w:before="13"/>
        <w:ind w:hanging="360"/>
        <w:rPr>
          <w:rFonts w:ascii="Calibri" w:hAnsi="Calibri"/>
        </w:rPr>
      </w:pPr>
      <w:r>
        <w:t>De:</w:t>
      </w:r>
      <w:r w:rsidR="00B56B8E">
        <w:rPr>
          <w:spacing w:val="-2"/>
        </w:rPr>
        <w:t xml:space="preserve"> Inconnu</w:t>
      </w:r>
    </w:p>
    <w:p w14:paraId="31C9C0D8" w14:textId="77777777" w:rsidR="00D66134" w:rsidRDefault="00B56B8E">
      <w:pPr>
        <w:pStyle w:val="ListParagraph"/>
        <w:numPr>
          <w:ilvl w:val="0"/>
          <w:numId w:val="1"/>
        </w:numPr>
        <w:tabs>
          <w:tab w:val="left" w:pos="861"/>
        </w:tabs>
        <w:ind w:hanging="360"/>
        <w:rPr>
          <w:rFonts w:ascii="Calibri" w:hAnsi="Calibri"/>
        </w:rPr>
      </w:pPr>
      <w:r>
        <w:t xml:space="preserve">A : </w:t>
      </w:r>
      <w:hyperlink r:id="rId72">
        <w:r>
          <w:rPr>
            <w:color w:val="05037E"/>
            <w:u w:val="single" w:color="05037E"/>
          </w:rPr>
          <w:t xml:space="preserve">Groupe de coordination sur les </w:t>
        </w:r>
        <w:r>
          <w:rPr>
            <w:color w:val="05037E"/>
            <w:spacing w:val="-2"/>
            <w:u w:val="single" w:color="05037E"/>
          </w:rPr>
          <w:t>migrations</w:t>
        </w:r>
      </w:hyperlink>
    </w:p>
    <w:p w14:paraId="23F7EA60" w14:textId="65653BCC" w:rsidR="00D66134" w:rsidRDefault="00B56B8E">
      <w:pPr>
        <w:pStyle w:val="ListParagraph"/>
        <w:numPr>
          <w:ilvl w:val="0"/>
          <w:numId w:val="1"/>
        </w:numPr>
        <w:tabs>
          <w:tab w:val="left" w:pos="861"/>
        </w:tabs>
        <w:spacing w:before="20"/>
        <w:rPr>
          <w:rFonts w:ascii="Calibri" w:hAnsi="Calibri"/>
        </w:rPr>
      </w:pPr>
      <w:r>
        <w:t xml:space="preserve">Date du </w:t>
      </w:r>
      <w:r w:rsidR="00E65179">
        <w:t>document:</w:t>
      </w:r>
      <w:r>
        <w:t xml:space="preserve"> non daté, publié le 30 octobre </w:t>
      </w:r>
      <w:r>
        <w:rPr>
          <w:spacing w:val="-4"/>
        </w:rPr>
        <w:t>2024</w:t>
      </w:r>
    </w:p>
    <w:p w14:paraId="78E7186C" w14:textId="77777777" w:rsidR="00D66134" w:rsidRDefault="00D66134">
      <w:pPr>
        <w:pStyle w:val="BodyText"/>
        <w:ind w:left="0"/>
      </w:pPr>
    </w:p>
    <w:p w14:paraId="54A0E63D" w14:textId="77777777" w:rsidR="00D66134" w:rsidRDefault="00D66134">
      <w:pPr>
        <w:pStyle w:val="BodyText"/>
        <w:spacing w:before="92"/>
        <w:ind w:left="0"/>
      </w:pPr>
    </w:p>
    <w:p w14:paraId="3BAD8781" w14:textId="16938EC4" w:rsidR="00D66134" w:rsidRDefault="00E65179">
      <w:pPr>
        <w:pStyle w:val="BodyText"/>
        <w:spacing w:line="288" w:lineRule="auto"/>
      </w:pPr>
      <w:hyperlink r:id="rId73">
        <w:r>
          <w:rPr>
            <w:color w:val="05037E"/>
            <w:u w:val="single" w:color="05037E"/>
          </w:rPr>
          <w:t xml:space="preserve">Libye, </w:t>
        </w:r>
        <w:r>
          <w:t>«</w:t>
        </w:r>
        <w:r w:rsidR="00B56B8E">
          <w:rPr>
            <w:color w:val="05037E"/>
            <w:u w:val="single" w:color="05037E"/>
          </w:rPr>
          <w:t xml:space="preserve">Accroître la protection et la résilience des migrants, des personnes déplacées de force et des </w:t>
        </w:r>
      </w:hyperlink>
      <w:hyperlink r:id="rId74">
        <w:r w:rsidR="00B56B8E">
          <w:rPr>
            <w:color w:val="05037E"/>
            <w:u w:val="single" w:color="05037E"/>
          </w:rPr>
          <w:t>communautés d'</w:t>
        </w:r>
      </w:hyperlink>
      <w:hyperlink r:id="rId75">
        <w:r w:rsidR="00B56B8E">
          <w:rPr>
            <w:color w:val="05037E"/>
            <w:u w:val="single" w:color="05037E"/>
          </w:rPr>
          <w:t xml:space="preserve">accueil </w:t>
        </w:r>
      </w:hyperlink>
      <w:hyperlink r:id="rId76">
        <w:r>
          <w:rPr>
            <w:color w:val="05037E"/>
            <w:u w:val="single" w:color="05037E"/>
          </w:rPr>
          <w:t>en Libye</w:t>
        </w:r>
        <w:r>
          <w:t xml:space="preserve"> </w:t>
        </w:r>
        <w:r w:rsidRPr="00E65179">
          <w:t>»</w:t>
        </w:r>
        <w:r>
          <w:t>.</w:t>
        </w:r>
        <w:r w:rsidR="00B56B8E">
          <w:rPr>
            <w:color w:val="05037E"/>
            <w:u w:val="single" w:color="05037E"/>
          </w:rPr>
          <w:t xml:space="preserve"> Document d'action</w:t>
        </w:r>
      </w:hyperlink>
    </w:p>
    <w:p w14:paraId="0B34356F" w14:textId="085C1B27" w:rsidR="00D66134" w:rsidRDefault="00B56B8E">
      <w:pPr>
        <w:pStyle w:val="ListParagraph"/>
        <w:numPr>
          <w:ilvl w:val="0"/>
          <w:numId w:val="1"/>
        </w:numPr>
        <w:tabs>
          <w:tab w:val="left" w:pos="861"/>
        </w:tabs>
        <w:spacing w:before="134"/>
        <w:rPr>
          <w:rFonts w:ascii="Calibri" w:hAnsi="Calibri"/>
        </w:rPr>
      </w:pPr>
      <w:r>
        <w:rPr>
          <w:spacing w:val="-2"/>
        </w:rPr>
        <w:t xml:space="preserve">Points </w:t>
      </w:r>
      <w:r>
        <w:t>clés</w:t>
      </w:r>
      <w:r w:rsidR="000D47CB">
        <w:t>:</w:t>
      </w:r>
    </w:p>
    <w:p w14:paraId="6CF2A76E" w14:textId="1C5FAA05" w:rsidR="00D66134" w:rsidRDefault="000D47CB" w:rsidP="00E65179">
      <w:pPr>
        <w:pStyle w:val="ListParagraph"/>
        <w:numPr>
          <w:ilvl w:val="1"/>
          <w:numId w:val="1"/>
        </w:numPr>
        <w:tabs>
          <w:tab w:val="left" w:pos="1579"/>
          <w:tab w:val="left" w:pos="1581"/>
        </w:tabs>
        <w:spacing w:before="8" w:line="252" w:lineRule="auto"/>
        <w:ind w:right="313"/>
      </w:pPr>
      <w:r>
        <w:t>P</w:t>
      </w:r>
      <w:r w:rsidR="00B56B8E">
        <w:t>ropose une action de 55 millions d'euros menée en Libye p</w:t>
      </w:r>
      <w:r w:rsidR="00962EA2">
        <w:t>ar le biais de subventions et d’</w:t>
      </w:r>
      <w:r w:rsidR="00B56B8E">
        <w:t>ONG partenaires afin d'accroître la protection et l'aide aux personnes déplacées de force, y compris l'emploi et les évacuations</w:t>
      </w:r>
      <w:r w:rsidR="00E65179">
        <w:t xml:space="preserve">, ainsi que la « sensibilisation </w:t>
      </w:r>
      <w:r w:rsidR="00E65179" w:rsidRPr="00E65179">
        <w:t>»</w:t>
      </w:r>
      <w:r w:rsidR="00B56B8E">
        <w:t xml:space="preserve"> aux risques de trafic et la protection contre le trafic.</w:t>
      </w:r>
    </w:p>
    <w:p w14:paraId="340E2B6F" w14:textId="6636BA9B" w:rsidR="00D66134" w:rsidRDefault="00B56B8E" w:rsidP="00E65179">
      <w:pPr>
        <w:pStyle w:val="ListParagraph"/>
        <w:numPr>
          <w:ilvl w:val="1"/>
          <w:numId w:val="1"/>
        </w:numPr>
        <w:tabs>
          <w:tab w:val="left" w:pos="1579"/>
          <w:tab w:val="left" w:pos="1581"/>
        </w:tabs>
        <w:spacing w:before="10" w:line="252" w:lineRule="auto"/>
        <w:ind w:right="474"/>
      </w:pPr>
      <w:r>
        <w:t>Elle décr</w:t>
      </w:r>
      <w:r w:rsidR="00E65179">
        <w:t xml:space="preserve">it les conditions « désastreuses </w:t>
      </w:r>
      <w:r w:rsidR="00E65179" w:rsidRPr="00E65179">
        <w:t>»</w:t>
      </w:r>
      <w:r>
        <w:t xml:space="preserve"> dans les centres de détention libyens, notamment le manque de nourriture, d'eau, de ventilation et d'assainissement, la </w:t>
      </w:r>
      <w:r>
        <w:rPr>
          <w:spacing w:val="-4"/>
        </w:rPr>
        <w:t xml:space="preserve">surpopulation </w:t>
      </w:r>
      <w:r>
        <w:t>extrême, l'absence de gardiennes entraînant un risque élevé de violence sexuelle, et l'accès limité des agences humanitaires.</w:t>
      </w:r>
    </w:p>
    <w:p w14:paraId="1EA5208F" w14:textId="77777777" w:rsidR="00D66134" w:rsidRDefault="00B56B8E">
      <w:pPr>
        <w:pStyle w:val="ListParagraph"/>
        <w:numPr>
          <w:ilvl w:val="1"/>
          <w:numId w:val="1"/>
        </w:numPr>
        <w:tabs>
          <w:tab w:val="left" w:pos="1579"/>
          <w:tab w:val="left" w:pos="1581"/>
        </w:tabs>
        <w:spacing w:before="10" w:line="252" w:lineRule="auto"/>
        <w:ind w:right="214"/>
      </w:pPr>
      <w:r>
        <w:t xml:space="preserve">Le projet est présenté comme étant conforme au nouveau pacte sur les migrations et l'asile, mettant l'accent sur la protection et l'assistance tout en reconnaissant que la Libye reste la principale plaque tournante de l'immigration irrégulière vers l'Europe par la </w:t>
      </w:r>
      <w:r>
        <w:rPr>
          <w:spacing w:val="-2"/>
        </w:rPr>
        <w:t xml:space="preserve">route de </w:t>
      </w:r>
      <w:r>
        <w:t>la Méditerranée centrale.</w:t>
      </w:r>
    </w:p>
    <w:p w14:paraId="3FDEE29E" w14:textId="5E0ED8B1" w:rsidR="00D66134" w:rsidRDefault="00B56B8E">
      <w:pPr>
        <w:pStyle w:val="ListParagraph"/>
        <w:numPr>
          <w:ilvl w:val="0"/>
          <w:numId w:val="1"/>
        </w:numPr>
        <w:tabs>
          <w:tab w:val="left" w:pos="861"/>
        </w:tabs>
        <w:spacing w:before="21"/>
        <w:ind w:hanging="360"/>
        <w:rPr>
          <w:rFonts w:ascii="Calibri" w:hAnsi="Calibri"/>
        </w:rPr>
      </w:pPr>
      <w:r>
        <w:t>De/</w:t>
      </w:r>
      <w:r w:rsidR="00E65179">
        <w:t>auteur:</w:t>
      </w:r>
      <w:r>
        <w:t xml:space="preserve"> </w:t>
      </w:r>
      <w:r>
        <w:rPr>
          <w:spacing w:val="-2"/>
        </w:rPr>
        <w:t xml:space="preserve">Services de </w:t>
      </w:r>
      <w:r>
        <w:t>la Commission</w:t>
      </w:r>
    </w:p>
    <w:p w14:paraId="64A8AAFA" w14:textId="77777777" w:rsidR="00D66134" w:rsidRDefault="00B56B8E">
      <w:pPr>
        <w:pStyle w:val="ListParagraph"/>
        <w:numPr>
          <w:ilvl w:val="0"/>
          <w:numId w:val="1"/>
        </w:numPr>
        <w:tabs>
          <w:tab w:val="left" w:pos="861"/>
        </w:tabs>
        <w:spacing w:before="20"/>
        <w:ind w:hanging="360"/>
        <w:rPr>
          <w:rFonts w:ascii="Calibri" w:hAnsi="Calibri"/>
        </w:rPr>
      </w:pPr>
      <w:r>
        <w:t xml:space="preserve">A : </w:t>
      </w:r>
      <w:hyperlink r:id="rId77">
        <w:r>
          <w:rPr>
            <w:color w:val="05037E"/>
            <w:u w:val="single" w:color="05037E"/>
          </w:rPr>
          <w:t xml:space="preserve">Groupe de coordination sur les </w:t>
        </w:r>
        <w:r>
          <w:rPr>
            <w:color w:val="05037E"/>
            <w:spacing w:val="-2"/>
            <w:u w:val="single" w:color="05037E"/>
          </w:rPr>
          <w:t>migrations</w:t>
        </w:r>
      </w:hyperlink>
    </w:p>
    <w:p w14:paraId="35B42205" w14:textId="53579A64" w:rsidR="00D66134" w:rsidRDefault="00B56B8E">
      <w:pPr>
        <w:pStyle w:val="ListParagraph"/>
        <w:numPr>
          <w:ilvl w:val="0"/>
          <w:numId w:val="1"/>
        </w:numPr>
        <w:tabs>
          <w:tab w:val="left" w:pos="861"/>
        </w:tabs>
        <w:spacing w:before="17"/>
        <w:rPr>
          <w:rFonts w:ascii="Calibri" w:hAnsi="Calibri"/>
        </w:rPr>
      </w:pPr>
      <w:r>
        <w:t xml:space="preserve">Date du </w:t>
      </w:r>
      <w:r w:rsidR="00E65179">
        <w:t>document:</w:t>
      </w:r>
      <w:r>
        <w:t xml:space="preserve"> 2 août </w:t>
      </w:r>
      <w:r>
        <w:rPr>
          <w:spacing w:val="-4"/>
        </w:rPr>
        <w:t>2021</w:t>
      </w:r>
    </w:p>
    <w:p w14:paraId="5A89F48E" w14:textId="77777777" w:rsidR="00D66134" w:rsidRDefault="00D66134">
      <w:pPr>
        <w:pStyle w:val="BodyText"/>
        <w:ind w:left="0"/>
      </w:pPr>
    </w:p>
    <w:p w14:paraId="7977C426" w14:textId="77777777" w:rsidR="00D66134" w:rsidRDefault="00D66134">
      <w:pPr>
        <w:pStyle w:val="BodyText"/>
        <w:spacing w:before="93"/>
        <w:ind w:left="0"/>
      </w:pPr>
    </w:p>
    <w:p w14:paraId="02ACDA79" w14:textId="77777777" w:rsidR="00D66134" w:rsidRDefault="00B56B8E">
      <w:pPr>
        <w:pStyle w:val="BodyText"/>
        <w:spacing w:line="288" w:lineRule="auto"/>
      </w:pPr>
      <w:hyperlink r:id="rId78">
        <w:r>
          <w:rPr>
            <w:color w:val="05037E"/>
            <w:u w:val="single" w:color="05037E"/>
          </w:rPr>
          <w:t xml:space="preserve">Groupe de coordination sur les migrations dans le cadre du NDICI - L'Europe globale et les </w:t>
        </w:r>
      </w:hyperlink>
      <w:hyperlink r:id="rId79">
        <w:r>
          <w:rPr>
            <w:color w:val="05037E"/>
            <w:u w:val="single" w:color="05037E"/>
          </w:rPr>
          <w:t xml:space="preserve">instruments de coopération bilatérale </w:t>
        </w:r>
      </w:hyperlink>
      <w:hyperlink r:id="rId80">
        <w:r>
          <w:rPr>
            <w:color w:val="05037E"/>
            <w:u w:val="single" w:color="05037E"/>
          </w:rPr>
          <w:t xml:space="preserve">des États membres </w:t>
        </w:r>
      </w:hyperlink>
      <w:hyperlink r:id="rId81">
        <w:r>
          <w:rPr>
            <w:color w:val="05037E"/>
            <w:u w:val="single" w:color="05037E"/>
          </w:rPr>
          <w:t>- lettre de fondation et règlement intérieur</w:t>
        </w:r>
      </w:hyperlink>
    </w:p>
    <w:p w14:paraId="3C460064" w14:textId="28C0A8D2" w:rsidR="00D66134" w:rsidRDefault="00B56B8E">
      <w:pPr>
        <w:pStyle w:val="ListParagraph"/>
        <w:numPr>
          <w:ilvl w:val="0"/>
          <w:numId w:val="1"/>
        </w:numPr>
        <w:tabs>
          <w:tab w:val="left" w:pos="861"/>
        </w:tabs>
        <w:spacing w:before="134"/>
        <w:rPr>
          <w:rFonts w:ascii="Calibri" w:hAnsi="Calibri"/>
        </w:rPr>
      </w:pPr>
      <w:r>
        <w:rPr>
          <w:spacing w:val="-2"/>
        </w:rPr>
        <w:t xml:space="preserve">Points </w:t>
      </w:r>
      <w:r>
        <w:t>clés</w:t>
      </w:r>
      <w:r w:rsidR="000D47CB">
        <w:t xml:space="preserve">: </w:t>
      </w:r>
    </w:p>
    <w:p w14:paraId="6489CB27" w14:textId="77777777" w:rsidR="00D66134" w:rsidRDefault="00B56B8E">
      <w:pPr>
        <w:pStyle w:val="ListParagraph"/>
        <w:numPr>
          <w:ilvl w:val="1"/>
          <w:numId w:val="1"/>
        </w:numPr>
        <w:tabs>
          <w:tab w:val="left" w:pos="1579"/>
          <w:tab w:val="left" w:pos="1581"/>
        </w:tabs>
        <w:spacing w:before="8"/>
        <w:ind w:right="473"/>
      </w:pPr>
      <w:r>
        <w:t>Lettre fondatrice et règlement intérieur établissant le Groupe de coordination sur les migrations, un groupe informel entre l'Union européenne et le Conseil de l'Europe.</w:t>
      </w:r>
    </w:p>
    <w:p w14:paraId="15438B4F" w14:textId="77777777" w:rsidR="00D66134" w:rsidRDefault="00D66134">
      <w:pPr>
        <w:pStyle w:val="ListParagraph"/>
        <w:sectPr w:rsidR="00D66134">
          <w:pgSz w:w="11910" w:h="16840"/>
          <w:pgMar w:top="1320" w:right="1275" w:bottom="1960" w:left="1275" w:header="0" w:footer="1766" w:gutter="0"/>
          <w:cols w:space="720"/>
        </w:sectPr>
      </w:pPr>
    </w:p>
    <w:p w14:paraId="5B441E01" w14:textId="5EF51E58" w:rsidR="00D66134" w:rsidRDefault="00B56B8E">
      <w:pPr>
        <w:pStyle w:val="BodyText"/>
        <w:spacing w:before="80" w:line="259" w:lineRule="auto"/>
        <w:ind w:left="1580" w:right="214"/>
      </w:pPr>
      <w:r>
        <w:t>La Commission et les</w:t>
      </w:r>
      <w:r w:rsidR="00E65179">
        <w:t xml:space="preserve"> États membres de l'UE doivent </w:t>
      </w:r>
      <w:r w:rsidR="00E65179" w:rsidRPr="00E65179">
        <w:t>«</w:t>
      </w:r>
      <w:r w:rsidR="00E65179">
        <w:t xml:space="preserve"> </w:t>
      </w:r>
      <w:r>
        <w:t xml:space="preserve">échanger des informations et des points de vue afin d'assurer </w:t>
      </w:r>
      <w:r w:rsidR="00E65179">
        <w:t xml:space="preserve">la coordination et la cohérence </w:t>
      </w:r>
      <w:r w:rsidR="00E65179" w:rsidRPr="00E65179">
        <w:t>»</w:t>
      </w:r>
      <w:r>
        <w:t xml:space="preserve"> sur l'utilisation des fo</w:t>
      </w:r>
      <w:r w:rsidR="000D47CB">
        <w:t xml:space="preserve">nds NDICI - Global Europe pour </w:t>
      </w:r>
      <w:r w:rsidR="000D47CB" w:rsidRPr="00E65179">
        <w:t>«</w:t>
      </w:r>
      <w:r w:rsidR="000D47CB">
        <w:t xml:space="preserve"> </w:t>
      </w:r>
      <w:r>
        <w:t>soutenir les actions l</w:t>
      </w:r>
      <w:r w:rsidR="00E65179">
        <w:t xml:space="preserve">iées aux migrations extérieures </w:t>
      </w:r>
      <w:r w:rsidR="00E65179" w:rsidRPr="00E65179">
        <w:t>»</w:t>
      </w:r>
      <w:r>
        <w:t>.</w:t>
      </w:r>
    </w:p>
    <w:p w14:paraId="5F3FF111" w14:textId="6D7EDD4C" w:rsidR="00D66134" w:rsidRDefault="00B56B8E">
      <w:pPr>
        <w:pStyle w:val="ListParagraph"/>
        <w:numPr>
          <w:ilvl w:val="1"/>
          <w:numId w:val="1"/>
        </w:numPr>
        <w:tabs>
          <w:tab w:val="left" w:pos="1579"/>
          <w:tab w:val="left" w:pos="1581"/>
        </w:tabs>
        <w:spacing w:before="1" w:line="249" w:lineRule="auto"/>
        <w:ind w:right="443"/>
      </w:pPr>
      <w:r>
        <w:t>L</w:t>
      </w:r>
      <w:r w:rsidR="000D47CB">
        <w:t xml:space="preserve">es objectifs du groupe sont de </w:t>
      </w:r>
      <w:r w:rsidR="000D47CB" w:rsidRPr="00E65179">
        <w:t>«</w:t>
      </w:r>
      <w:r w:rsidR="000D47CB">
        <w:t xml:space="preserve"> </w:t>
      </w:r>
      <w:r>
        <w:t>garantir un maximum de synergies entre les actions de l'UE et des Ét</w:t>
      </w:r>
      <w:r w:rsidR="00E65179">
        <w:t xml:space="preserve">ats membres </w:t>
      </w:r>
      <w:r w:rsidR="00E65179" w:rsidRPr="00E65179">
        <w:t>»</w:t>
      </w:r>
      <w:r>
        <w:t>, tout en évitant les doubles emplois, grâce à l'échange d'informations sur les projets de migration prévus dans les pays tiers.</w:t>
      </w:r>
    </w:p>
    <w:p w14:paraId="330FF7D0" w14:textId="68E0C95B" w:rsidR="00D66134" w:rsidRDefault="00E65179">
      <w:pPr>
        <w:pStyle w:val="ListParagraph"/>
        <w:numPr>
          <w:ilvl w:val="1"/>
          <w:numId w:val="1"/>
        </w:numPr>
        <w:tabs>
          <w:tab w:val="left" w:pos="1579"/>
          <w:tab w:val="left" w:pos="1581"/>
        </w:tabs>
        <w:spacing w:before="9" w:line="254" w:lineRule="auto"/>
        <w:ind w:right="139"/>
      </w:pPr>
      <w:r>
        <w:t>E</w:t>
      </w:r>
      <w:r w:rsidR="00B56B8E">
        <w:t xml:space="preserve">xplique que les réunions du CGM doivent </w:t>
      </w:r>
      <w:r w:rsidR="00B56B8E">
        <w:rPr>
          <w:spacing w:val="-3"/>
        </w:rPr>
        <w:t>permettre</w:t>
      </w:r>
      <w:r w:rsidR="00B56B8E">
        <w:t xml:space="preserve"> aux États membres de discuter de la mise en œuvre et de la coordination des projets futurs et de suivre les progrès accomplis dans la réalisation de l'objectif du NDICI-GE consistant à consacrer 10 % de son budget d'aide et de développement extérieur à des projets liés aux migrations, et de fournir au Parlement européen et au Conseil des informations actualisées sur ces </w:t>
      </w:r>
      <w:r w:rsidR="00B56B8E">
        <w:rPr>
          <w:spacing w:val="-2"/>
        </w:rPr>
        <w:t>progrès</w:t>
      </w:r>
    </w:p>
    <w:p w14:paraId="06A2A9DA" w14:textId="3B1595D3" w:rsidR="00D66134" w:rsidRDefault="00B56B8E">
      <w:pPr>
        <w:pStyle w:val="ListParagraph"/>
        <w:numPr>
          <w:ilvl w:val="0"/>
          <w:numId w:val="1"/>
        </w:numPr>
        <w:tabs>
          <w:tab w:val="left" w:pos="861"/>
        </w:tabs>
        <w:spacing w:before="20"/>
        <w:ind w:hanging="360"/>
        <w:rPr>
          <w:rFonts w:ascii="Calibri" w:hAnsi="Calibri"/>
        </w:rPr>
      </w:pPr>
      <w:r>
        <w:t xml:space="preserve">De la part </w:t>
      </w:r>
      <w:r w:rsidR="00E65179">
        <w:t>de:</w:t>
      </w:r>
      <w:r>
        <w:t xml:space="preserve"> Secrétariat général du </w:t>
      </w:r>
      <w:r>
        <w:rPr>
          <w:spacing w:val="-2"/>
        </w:rPr>
        <w:t>Conseil</w:t>
      </w:r>
    </w:p>
    <w:p w14:paraId="295AC805" w14:textId="43829352" w:rsidR="00D66134" w:rsidRDefault="00E65179">
      <w:pPr>
        <w:pStyle w:val="ListParagraph"/>
        <w:numPr>
          <w:ilvl w:val="0"/>
          <w:numId w:val="1"/>
        </w:numPr>
        <w:tabs>
          <w:tab w:val="left" w:pos="861"/>
        </w:tabs>
        <w:ind w:hanging="360"/>
        <w:rPr>
          <w:rFonts w:ascii="Calibri" w:hAnsi="Calibri"/>
        </w:rPr>
      </w:pPr>
      <w:r>
        <w:t>A:</w:t>
      </w:r>
      <w:r w:rsidR="00B56B8E">
        <w:t xml:space="preserve"> Groupe de travail sur la coopération au développement et les </w:t>
      </w:r>
      <w:r w:rsidR="00B56B8E">
        <w:rPr>
          <w:spacing w:val="-2"/>
        </w:rPr>
        <w:t xml:space="preserve">partenariats </w:t>
      </w:r>
      <w:r w:rsidR="00B56B8E">
        <w:t>internationaux</w:t>
      </w:r>
    </w:p>
    <w:p w14:paraId="1AB827A8" w14:textId="57CC12C2" w:rsidR="00D66134" w:rsidRDefault="00B56B8E">
      <w:pPr>
        <w:pStyle w:val="ListParagraph"/>
        <w:numPr>
          <w:ilvl w:val="0"/>
          <w:numId w:val="1"/>
        </w:numPr>
        <w:tabs>
          <w:tab w:val="left" w:pos="861"/>
        </w:tabs>
        <w:ind w:hanging="360"/>
        <w:rPr>
          <w:rFonts w:ascii="Calibri" w:hAnsi="Calibri"/>
        </w:rPr>
      </w:pPr>
      <w:r>
        <w:t xml:space="preserve">Date du </w:t>
      </w:r>
      <w:r w:rsidR="00E65179">
        <w:t>document:</w:t>
      </w:r>
      <w:r>
        <w:t xml:space="preserve"> 21 novembre </w:t>
      </w:r>
      <w:r>
        <w:rPr>
          <w:spacing w:val="-4"/>
        </w:rPr>
        <w:t>2022</w:t>
      </w:r>
    </w:p>
    <w:p w14:paraId="25D62895" w14:textId="7D1CE7CF" w:rsidR="00D66134" w:rsidRDefault="00B56B8E">
      <w:pPr>
        <w:pStyle w:val="ListParagraph"/>
        <w:numPr>
          <w:ilvl w:val="0"/>
          <w:numId w:val="1"/>
        </w:numPr>
        <w:tabs>
          <w:tab w:val="left" w:pos="861"/>
        </w:tabs>
        <w:spacing w:before="20"/>
        <w:ind w:hanging="360"/>
        <w:rPr>
          <w:rFonts w:ascii="Calibri" w:hAnsi="Calibri"/>
        </w:rPr>
      </w:pPr>
      <w:r>
        <w:t xml:space="preserve">Numéro de </w:t>
      </w:r>
      <w:r w:rsidR="00E65179">
        <w:t>document:</w:t>
      </w:r>
      <w:r>
        <w:t xml:space="preserve"> WK </w:t>
      </w:r>
      <w:r>
        <w:rPr>
          <w:spacing w:val="-2"/>
        </w:rPr>
        <w:t>16046/22</w:t>
      </w:r>
    </w:p>
    <w:p w14:paraId="23DF99B9" w14:textId="7F36CF4E" w:rsidR="00D66134" w:rsidRDefault="00E65179">
      <w:pPr>
        <w:pStyle w:val="ListParagraph"/>
        <w:numPr>
          <w:ilvl w:val="0"/>
          <w:numId w:val="1"/>
        </w:numPr>
        <w:tabs>
          <w:tab w:val="left" w:pos="861"/>
        </w:tabs>
        <w:ind w:hanging="360"/>
        <w:rPr>
          <w:rFonts w:ascii="Calibri" w:hAnsi="Calibri"/>
        </w:rPr>
      </w:pPr>
      <w:r>
        <w:t>Classification:</w:t>
      </w:r>
      <w:r w:rsidR="00B56B8E">
        <w:t xml:space="preserve"> </w:t>
      </w:r>
      <w:r w:rsidR="00B56B8E">
        <w:rPr>
          <w:spacing w:val="-2"/>
        </w:rPr>
        <w:t>LIMITE</w:t>
      </w:r>
    </w:p>
    <w:p w14:paraId="54190D85" w14:textId="248350E2" w:rsidR="00D66134" w:rsidRDefault="00E65179">
      <w:pPr>
        <w:pStyle w:val="ListParagraph"/>
        <w:numPr>
          <w:ilvl w:val="0"/>
          <w:numId w:val="1"/>
        </w:numPr>
        <w:tabs>
          <w:tab w:val="left" w:pos="861"/>
        </w:tabs>
        <w:ind w:hanging="360"/>
        <w:rPr>
          <w:rFonts w:ascii="Calibri" w:hAnsi="Calibri"/>
        </w:rPr>
      </w:pPr>
      <w:r>
        <w:t>Censuré:</w:t>
      </w:r>
      <w:r w:rsidR="00B56B8E">
        <w:t xml:space="preserve"> </w:t>
      </w:r>
      <w:r w:rsidR="00B56B8E">
        <w:rPr>
          <w:spacing w:val="-5"/>
        </w:rPr>
        <w:t>Oui</w:t>
      </w:r>
    </w:p>
    <w:p w14:paraId="602893D0" w14:textId="77777777" w:rsidR="00D66134" w:rsidRDefault="00D66134">
      <w:pPr>
        <w:pStyle w:val="BodyText"/>
        <w:ind w:left="0"/>
      </w:pPr>
    </w:p>
    <w:p w14:paraId="0FBB6D01" w14:textId="77777777" w:rsidR="00D66134" w:rsidRDefault="00D66134">
      <w:pPr>
        <w:pStyle w:val="BodyText"/>
        <w:spacing w:before="84"/>
        <w:ind w:left="0"/>
      </w:pPr>
    </w:p>
    <w:p w14:paraId="24517C0F" w14:textId="77777777" w:rsidR="00D66134" w:rsidRDefault="00B56B8E">
      <w:pPr>
        <w:pStyle w:val="BodyText"/>
        <w:spacing w:line="288" w:lineRule="auto"/>
      </w:pPr>
      <w:hyperlink r:id="rId82">
        <w:r>
          <w:rPr>
            <w:color w:val="05037E"/>
            <w:u w:val="single" w:color="05037E"/>
          </w:rPr>
          <w:t xml:space="preserve">Groupe de coordination sur les migrations dans le cadre du NDICI - Global Europe et les </w:t>
        </w:r>
      </w:hyperlink>
      <w:hyperlink r:id="rId83">
        <w:r>
          <w:rPr>
            <w:color w:val="05037E"/>
            <w:u w:val="single" w:color="05037E"/>
          </w:rPr>
          <w:t xml:space="preserve">instruments de coopération bilatérale </w:t>
        </w:r>
      </w:hyperlink>
      <w:hyperlink r:id="rId84">
        <w:r>
          <w:rPr>
            <w:color w:val="05037E"/>
            <w:u w:val="single" w:color="05037E"/>
          </w:rPr>
          <w:t xml:space="preserve">des États membres </w:t>
        </w:r>
      </w:hyperlink>
      <w:hyperlink r:id="rId85">
        <w:r>
          <w:rPr>
            <w:color w:val="05037E"/>
            <w:u w:val="single" w:color="05037E"/>
          </w:rPr>
          <w:t>- Termes de référence (ToR)</w:t>
        </w:r>
      </w:hyperlink>
    </w:p>
    <w:p w14:paraId="651103DE" w14:textId="1688BE02" w:rsidR="00D66134" w:rsidRDefault="00B56B8E">
      <w:pPr>
        <w:pStyle w:val="ListParagraph"/>
        <w:numPr>
          <w:ilvl w:val="0"/>
          <w:numId w:val="1"/>
        </w:numPr>
        <w:tabs>
          <w:tab w:val="left" w:pos="861"/>
        </w:tabs>
        <w:spacing w:before="134"/>
        <w:rPr>
          <w:rFonts w:ascii="Calibri" w:hAnsi="Calibri"/>
        </w:rPr>
      </w:pPr>
      <w:r>
        <w:rPr>
          <w:spacing w:val="-2"/>
        </w:rPr>
        <w:t xml:space="preserve">Points </w:t>
      </w:r>
      <w:r>
        <w:t>clés</w:t>
      </w:r>
      <w:r w:rsidR="00F757FD">
        <w:t>:</w:t>
      </w:r>
    </w:p>
    <w:p w14:paraId="58CE533C" w14:textId="20B02433" w:rsidR="00D66134" w:rsidRDefault="000D47CB">
      <w:pPr>
        <w:pStyle w:val="ListParagraph"/>
        <w:numPr>
          <w:ilvl w:val="1"/>
          <w:numId w:val="1"/>
        </w:numPr>
        <w:tabs>
          <w:tab w:val="left" w:pos="1579"/>
          <w:tab w:val="left" w:pos="1581"/>
        </w:tabs>
        <w:spacing w:before="8" w:line="249" w:lineRule="auto"/>
        <w:ind w:right="170"/>
      </w:pPr>
      <w:r>
        <w:t xml:space="preserve">Il s'agit d'un </w:t>
      </w:r>
      <w:r w:rsidRPr="00E65179">
        <w:t>«</w:t>
      </w:r>
      <w:r>
        <w:t xml:space="preserve"> </w:t>
      </w:r>
      <w:r w:rsidR="00B56B8E">
        <w:t xml:space="preserve">groupe spécial </w:t>
      </w:r>
      <w:r>
        <w:t>informel créé par la Commission »</w:t>
      </w:r>
      <w:r w:rsidR="00B56B8E">
        <w:t>, composé des "services compétents de la Commission européenne et du SEAE, ainsi que des autorités compét</w:t>
      </w:r>
      <w:r>
        <w:t>entes des États membres de l'UE »</w:t>
      </w:r>
    </w:p>
    <w:p w14:paraId="7E5BFABC" w14:textId="05837096" w:rsidR="00D66134" w:rsidRDefault="00B56B8E">
      <w:pPr>
        <w:pStyle w:val="ListParagraph"/>
        <w:numPr>
          <w:ilvl w:val="1"/>
          <w:numId w:val="1"/>
        </w:numPr>
        <w:tabs>
          <w:tab w:val="left" w:pos="1579"/>
          <w:tab w:val="left" w:pos="1581"/>
        </w:tabs>
        <w:spacing w:before="10" w:line="254" w:lineRule="auto"/>
        <w:ind w:right="228"/>
      </w:pPr>
      <w:r>
        <w:t>L'objectif du gro</w:t>
      </w:r>
      <w:r w:rsidR="000D47CB">
        <w:t xml:space="preserve">upe est </w:t>
      </w:r>
      <w:r w:rsidR="000D47CB" w:rsidRPr="00E65179">
        <w:t>«</w:t>
      </w:r>
      <w:r w:rsidR="000D47CB">
        <w:t xml:space="preserve"> </w:t>
      </w:r>
      <w:r>
        <w:t>d'échanger des informations et des points de vue afin d'assurer la coordination et la cohérence entre l'utilisation des fonds NDICI - Global Europe pour soutenir les actions liées aux migrations extérieures et les actions des États membres liées a</w:t>
      </w:r>
      <w:r w:rsidR="000D47CB">
        <w:t>ux migrations »</w:t>
      </w:r>
    </w:p>
    <w:p w14:paraId="29AF0B9D" w14:textId="25DBF7CF" w:rsidR="00D66134" w:rsidRDefault="00B56B8E">
      <w:pPr>
        <w:pStyle w:val="ListParagraph"/>
        <w:numPr>
          <w:ilvl w:val="1"/>
          <w:numId w:val="1"/>
        </w:numPr>
        <w:tabs>
          <w:tab w:val="left" w:pos="1579"/>
          <w:tab w:val="left" w:pos="1581"/>
        </w:tabs>
        <w:spacing w:before="0" w:line="249" w:lineRule="auto"/>
        <w:ind w:right="259"/>
      </w:pPr>
      <w:r>
        <w:t>Trois types de points sont envisagés pour êtr</w:t>
      </w:r>
      <w:r w:rsidR="000D47CB">
        <w:t xml:space="preserve">e discutés au sein du groupe: </w:t>
      </w:r>
      <w:r w:rsidR="000D47CB" w:rsidRPr="00E65179">
        <w:t>«</w:t>
      </w:r>
      <w:r w:rsidR="000D47CB">
        <w:t xml:space="preserve"> </w:t>
      </w:r>
      <w:r>
        <w:t>Échange sur les orientations de la mise en œuvre</w:t>
      </w:r>
      <w:r w:rsidR="000D47CB">
        <w:t xml:space="preserve"> »;</w:t>
      </w:r>
      <w:r>
        <w:t xml:space="preserve"> discussions de coordination en vue de projets </w:t>
      </w:r>
      <w:r w:rsidR="000D47CB">
        <w:t>futurs;</w:t>
      </w:r>
      <w:r>
        <w:t xml:space="preserve"> et informations sur les projets approuvés.</w:t>
      </w:r>
    </w:p>
    <w:p w14:paraId="3B5D4FB1" w14:textId="1D574ABC" w:rsidR="00D66134" w:rsidRDefault="000D47CB">
      <w:pPr>
        <w:pStyle w:val="ListParagraph"/>
        <w:numPr>
          <w:ilvl w:val="0"/>
          <w:numId w:val="1"/>
        </w:numPr>
        <w:tabs>
          <w:tab w:val="left" w:pos="861"/>
        </w:tabs>
        <w:spacing w:before="23"/>
        <w:ind w:hanging="360"/>
        <w:rPr>
          <w:rFonts w:ascii="Calibri" w:hAnsi="Calibri"/>
        </w:rPr>
      </w:pPr>
      <w:r>
        <w:t>Auteur:</w:t>
      </w:r>
      <w:r w:rsidR="00B56B8E">
        <w:t xml:space="preserve"> </w:t>
      </w:r>
      <w:r w:rsidR="00B56B8E">
        <w:rPr>
          <w:spacing w:val="-2"/>
        </w:rPr>
        <w:t xml:space="preserve">Commission </w:t>
      </w:r>
      <w:r w:rsidR="00B56B8E">
        <w:t>européenne</w:t>
      </w:r>
    </w:p>
    <w:p w14:paraId="05C701FC" w14:textId="7A7F6342" w:rsidR="00D66134" w:rsidRDefault="000D47CB">
      <w:pPr>
        <w:pStyle w:val="ListParagraph"/>
        <w:numPr>
          <w:ilvl w:val="0"/>
          <w:numId w:val="1"/>
        </w:numPr>
        <w:tabs>
          <w:tab w:val="left" w:pos="861"/>
        </w:tabs>
        <w:ind w:hanging="360"/>
        <w:rPr>
          <w:rFonts w:ascii="Calibri" w:hAnsi="Calibri"/>
        </w:rPr>
      </w:pPr>
      <w:r>
        <w:t>A:</w:t>
      </w:r>
      <w:r w:rsidR="00B56B8E">
        <w:rPr>
          <w:spacing w:val="-2"/>
        </w:rPr>
        <w:t xml:space="preserve"> Inconnu</w:t>
      </w:r>
    </w:p>
    <w:p w14:paraId="3EA3DB5E" w14:textId="57BAB5F0" w:rsidR="00D66134" w:rsidRDefault="00B56B8E">
      <w:pPr>
        <w:pStyle w:val="ListParagraph"/>
        <w:numPr>
          <w:ilvl w:val="0"/>
          <w:numId w:val="1"/>
        </w:numPr>
        <w:tabs>
          <w:tab w:val="left" w:pos="861"/>
        </w:tabs>
        <w:spacing w:before="17"/>
        <w:ind w:hanging="360"/>
        <w:rPr>
          <w:rFonts w:ascii="Calibri" w:hAnsi="Calibri"/>
        </w:rPr>
      </w:pPr>
      <w:r>
        <w:t xml:space="preserve">Date du </w:t>
      </w:r>
      <w:r w:rsidR="000D47CB">
        <w:t>document:</w:t>
      </w:r>
      <w:r>
        <w:t xml:space="preserve"> 11 novembre </w:t>
      </w:r>
      <w:r>
        <w:rPr>
          <w:spacing w:val="-4"/>
        </w:rPr>
        <w:t>2021</w:t>
      </w:r>
    </w:p>
    <w:p w14:paraId="2F236F2E" w14:textId="5DFA65D4" w:rsidR="00D66134" w:rsidRDefault="00B56B8E">
      <w:pPr>
        <w:pStyle w:val="ListParagraph"/>
        <w:numPr>
          <w:ilvl w:val="0"/>
          <w:numId w:val="1"/>
        </w:numPr>
        <w:tabs>
          <w:tab w:val="left" w:pos="862"/>
        </w:tabs>
        <w:spacing w:before="20"/>
        <w:ind w:left="862" w:hanging="360"/>
        <w:rPr>
          <w:rFonts w:ascii="Calibri" w:hAnsi="Calibri"/>
        </w:rPr>
      </w:pPr>
      <w:r>
        <w:t xml:space="preserve">Numéro de </w:t>
      </w:r>
      <w:r w:rsidR="000D47CB">
        <w:t>document:</w:t>
      </w:r>
      <w:r>
        <w:t xml:space="preserve"> </w:t>
      </w:r>
      <w:r w:rsidR="000D47CB">
        <w:rPr>
          <w:spacing w:val="-2"/>
        </w:rPr>
        <w:t>Ares (</w:t>
      </w:r>
      <w:r>
        <w:rPr>
          <w:spacing w:val="-2"/>
        </w:rPr>
        <w:t>2021)6942056</w:t>
      </w:r>
    </w:p>
    <w:p w14:paraId="7D6CFCDE" w14:textId="2106D759" w:rsidR="00D66134" w:rsidRDefault="000D47CB">
      <w:pPr>
        <w:pStyle w:val="ListParagraph"/>
        <w:numPr>
          <w:ilvl w:val="0"/>
          <w:numId w:val="1"/>
        </w:numPr>
        <w:tabs>
          <w:tab w:val="left" w:pos="862"/>
        </w:tabs>
        <w:ind w:left="862" w:hanging="360"/>
        <w:rPr>
          <w:rFonts w:ascii="Calibri" w:hAnsi="Calibri"/>
        </w:rPr>
      </w:pPr>
      <w:r>
        <w:t>Classification:</w:t>
      </w:r>
      <w:r w:rsidR="00B56B8E">
        <w:t xml:space="preserve"> </w:t>
      </w:r>
      <w:r w:rsidR="00B56B8E">
        <w:rPr>
          <w:spacing w:val="-4"/>
        </w:rPr>
        <w:t>Aucune</w:t>
      </w:r>
    </w:p>
    <w:p w14:paraId="592DC396" w14:textId="77777777" w:rsidR="00D66134" w:rsidRDefault="00D66134">
      <w:pPr>
        <w:pStyle w:val="ListParagraph"/>
        <w:rPr>
          <w:rFonts w:ascii="Calibri" w:hAnsi="Calibri"/>
        </w:rPr>
        <w:sectPr w:rsidR="00D66134">
          <w:pgSz w:w="11910" w:h="16840"/>
          <w:pgMar w:top="1320" w:right="1275" w:bottom="1960" w:left="1275" w:header="0" w:footer="1766" w:gutter="0"/>
          <w:cols w:space="720"/>
        </w:sectPr>
      </w:pPr>
    </w:p>
    <w:p w14:paraId="4BB543E8" w14:textId="77777777" w:rsidR="00D66134" w:rsidRDefault="00B56B8E">
      <w:pPr>
        <w:pStyle w:val="Heading1"/>
        <w:spacing w:line="288" w:lineRule="auto"/>
      </w:pPr>
      <w:bookmarkStart w:id="14" w:name="Frontex’s_increasing_role_in_reintegrati"/>
      <w:bookmarkStart w:id="15" w:name="_bookmark7"/>
      <w:bookmarkEnd w:id="14"/>
      <w:bookmarkEnd w:id="15"/>
      <w:r>
        <w:t>Le rôle croissant de Frontex dans la politique de réintégration et ses effets en Afrique de l'Ouest</w:t>
      </w:r>
    </w:p>
    <w:p w14:paraId="03FB0323" w14:textId="77777777" w:rsidR="00D66134" w:rsidRDefault="00B56B8E">
      <w:pPr>
        <w:pStyle w:val="BodyText"/>
        <w:tabs>
          <w:tab w:val="left" w:pos="860"/>
        </w:tabs>
        <w:spacing w:before="121"/>
        <w:ind w:left="500"/>
      </w:pPr>
      <w:r>
        <w:tab/>
        <w:t xml:space="preserve">-Ngozi Uzomah et Rossella </w:t>
      </w:r>
      <w:r>
        <w:rPr>
          <w:spacing w:val="-2"/>
        </w:rPr>
        <w:t>Marino</w:t>
      </w:r>
    </w:p>
    <w:p w14:paraId="79022EFD" w14:textId="65478AB4" w:rsidR="00F757FD" w:rsidRDefault="00FA3E61">
      <w:pPr>
        <w:spacing w:before="172" w:line="288" w:lineRule="auto"/>
        <w:ind w:left="140" w:right="275"/>
        <w:rPr>
          <w:i/>
        </w:rPr>
      </w:pPr>
      <w:r>
        <w:rPr>
          <w:i/>
        </w:rPr>
        <w:t>L’externalisation</w:t>
      </w:r>
      <w:r w:rsidR="00F757FD" w:rsidRPr="00F757FD">
        <w:rPr>
          <w:i/>
        </w:rPr>
        <w:t xml:space="preserve"> des contrôles frontaliers européens en Afrique a suscité une attention politique et critique considérable, contrairement aux politiques de « réintégration », censées aider les personnes expulsées de l’UE. Le rôle de </w:t>
      </w:r>
      <w:r w:rsidR="00F757FD" w:rsidRPr="00FA3E61">
        <w:rPr>
          <w:bCs/>
          <w:i/>
        </w:rPr>
        <w:t>Frontex</w:t>
      </w:r>
      <w:r w:rsidR="00F757FD" w:rsidRPr="00F757FD">
        <w:rPr>
          <w:i/>
        </w:rPr>
        <w:t xml:space="preserve"> dans l’« expulsion » et la « réintégration » ne cesse de croître, avec des conséquences en </w:t>
      </w:r>
      <w:r w:rsidR="00F757FD" w:rsidRPr="00FA3E61">
        <w:rPr>
          <w:bCs/>
          <w:i/>
        </w:rPr>
        <w:t>Gambie</w:t>
      </w:r>
      <w:r w:rsidR="00F757FD" w:rsidRPr="00FA3E61">
        <w:rPr>
          <w:i/>
        </w:rPr>
        <w:t xml:space="preserve"> et au </w:t>
      </w:r>
      <w:r w:rsidR="00F757FD" w:rsidRPr="00FA3E61">
        <w:rPr>
          <w:bCs/>
          <w:i/>
        </w:rPr>
        <w:t>Nigeria</w:t>
      </w:r>
      <w:r w:rsidR="00F757FD" w:rsidRPr="00F757FD">
        <w:rPr>
          <w:i/>
        </w:rPr>
        <w:t xml:space="preserve"> qui soulèvent des questions sur la « souveraineté nationale », les « droits des expulsés » et l’« instrumentalisation d’organisations indépendantes ».</w:t>
      </w:r>
    </w:p>
    <w:p w14:paraId="47673EC4" w14:textId="77777777" w:rsidR="00D66134" w:rsidRDefault="00B56B8E">
      <w:pPr>
        <w:pStyle w:val="Heading3"/>
        <w:spacing w:before="121"/>
      </w:pPr>
      <w:r>
        <w:rPr>
          <w:spacing w:val="-2"/>
        </w:rPr>
        <w:t>Introduction</w:t>
      </w:r>
    </w:p>
    <w:p w14:paraId="476FC56C" w14:textId="0BDCD0DF" w:rsidR="00962EA2" w:rsidRDefault="00B56B8E" w:rsidP="007263BD">
      <w:pPr>
        <w:pStyle w:val="BodyText"/>
        <w:spacing w:before="169" w:line="288" w:lineRule="auto"/>
        <w:ind w:right="244" w:hanging="1"/>
      </w:pPr>
      <w:r>
        <w:t xml:space="preserve">Les responsables politiques européens </w:t>
      </w:r>
      <w:r w:rsidR="00962EA2">
        <w:t xml:space="preserve">cherchent à distinguer le retour volontaire assisté de </w:t>
      </w:r>
      <w:r>
        <w:t xml:space="preserve">l'éloignement forcé. </w:t>
      </w:r>
      <w:r w:rsidR="005364A3">
        <w:t xml:space="preserve">Pourtant, ces deux formes de retour, resultant de </w:t>
      </w:r>
      <w:r>
        <w:t xml:space="preserve">l'illégalisation des migrants, </w:t>
      </w:r>
      <w:hyperlink r:id="rId86">
        <w:r w:rsidR="005364A3">
          <w:rPr>
            <w:color w:val="05037E"/>
            <w:u w:val="single" w:color="05037E"/>
          </w:rPr>
          <w:t>s’apparentent</w:t>
        </w:r>
        <w:r>
          <w:rPr>
            <w:color w:val="05037E"/>
            <w:u w:val="single" w:color="05037E"/>
          </w:rPr>
          <w:t xml:space="preserve"> </w:t>
        </w:r>
      </w:hyperlink>
      <w:hyperlink r:id="rId87">
        <w:r>
          <w:rPr>
            <w:color w:val="05037E"/>
            <w:u w:val="single" w:color="05037E"/>
          </w:rPr>
          <w:t xml:space="preserve"> toutes deux à une déportation</w:t>
        </w:r>
      </w:hyperlink>
      <w:r>
        <w:t>. Les expulsées et leurs communautés</w:t>
      </w:r>
      <w:r w:rsidR="005364A3">
        <w:t xml:space="preserve"> peinent à se reconstruire après des experiences migratoires et des expulsions traumatisantes.</w:t>
      </w:r>
      <w:r>
        <w:t xml:space="preserve"> </w:t>
      </w:r>
    </w:p>
    <w:p w14:paraId="4BB33802" w14:textId="59EFF655" w:rsidR="00D66134" w:rsidRDefault="00B56B8E">
      <w:pPr>
        <w:pStyle w:val="BodyText"/>
        <w:spacing w:before="120" w:line="288" w:lineRule="auto"/>
      </w:pPr>
      <w:r>
        <w:t>Dans les rares cas où les pays européens leur offrent une assistance à la réintégration</w:t>
      </w:r>
      <w:r>
        <w:rPr>
          <w:color w:val="05037E"/>
          <w:u w:val="single" w:color="05037E"/>
        </w:rPr>
        <w:t xml:space="preserve">, celle-ci sert </w:t>
      </w:r>
      <w:r w:rsidR="0040448A">
        <w:rPr>
          <w:color w:val="05037E"/>
          <w:u w:val="single" w:color="05037E"/>
        </w:rPr>
        <w:t>avant tout à inciter au depart, reste</w:t>
      </w:r>
      <w:hyperlink r:id="rId88">
        <w:r>
          <w:rPr>
            <w:color w:val="05037E"/>
            <w:u w:val="single" w:color="05037E"/>
          </w:rPr>
          <w:t xml:space="preserve"> limitée</w:t>
        </w:r>
        <w:r w:rsidR="0040448A">
          <w:rPr>
            <w:color w:val="05037E"/>
            <w:u w:val="single" w:color="05037E"/>
          </w:rPr>
          <w:t xml:space="preserve"> et repose sur une vision</w:t>
        </w:r>
        <w:r>
          <w:rPr>
            <w:color w:val="05037E"/>
            <w:u w:val="single" w:color="05037E"/>
          </w:rPr>
          <w:t xml:space="preserve"> eurocentrique dans sa </w:t>
        </w:r>
      </w:hyperlink>
      <w:hyperlink r:id="rId89">
        <w:r>
          <w:rPr>
            <w:color w:val="05037E"/>
            <w:u w:val="single" w:color="05037E"/>
          </w:rPr>
          <w:t>conceptualisation</w:t>
        </w:r>
      </w:hyperlink>
      <w:r>
        <w:t xml:space="preserve">. En </w:t>
      </w:r>
      <w:r w:rsidR="00F833A2">
        <w:t xml:space="preserve">effet, elle privilégie </w:t>
      </w:r>
      <w:r>
        <w:t>des pr</w:t>
      </w:r>
      <w:r w:rsidR="00F833A2">
        <w:t>ojets commerciaux individuels fragiles, exploités sur la base</w:t>
      </w:r>
      <w:r>
        <w:t xml:space="preserve"> des ressources et une formation insuffisantes, sans s'attaquer à l</w:t>
      </w:r>
      <w:hyperlink r:id="rId90">
        <w:r>
          <w:rPr>
            <w:color w:val="05037E"/>
            <w:u w:val="single" w:color="05037E"/>
          </w:rPr>
          <w:t xml:space="preserve">'exploitation économique </w:t>
        </w:r>
      </w:hyperlink>
      <w:hyperlink r:id="rId91">
        <w:r>
          <w:rPr>
            <w:color w:val="05037E"/>
            <w:u w:val="single" w:color="05037E"/>
          </w:rPr>
          <w:t xml:space="preserve">des Africains </w:t>
        </w:r>
      </w:hyperlink>
      <w:hyperlink r:id="rId92">
        <w:r w:rsidR="00F833A2">
          <w:rPr>
            <w:color w:val="05037E"/>
            <w:u w:val="single" w:color="05037E"/>
          </w:rPr>
          <w:t>ni</w:t>
        </w:r>
        <w:r>
          <w:rPr>
            <w:color w:val="05037E"/>
            <w:u w:val="single" w:color="05037E"/>
          </w:rPr>
          <w:t xml:space="preserve"> à l'injustice de la mobilité </w:t>
        </w:r>
      </w:hyperlink>
      <w:hyperlink r:id="rId93">
        <w:r>
          <w:rPr>
            <w:color w:val="05037E"/>
            <w:u w:val="single" w:color="05037E"/>
          </w:rPr>
          <w:t>à laquelle ils sont confrontés</w:t>
        </w:r>
      </w:hyperlink>
      <w:r>
        <w:t>.</w:t>
      </w:r>
    </w:p>
    <w:p w14:paraId="35788636" w14:textId="1D666AEE" w:rsidR="00D66134" w:rsidRDefault="00B56B8E">
      <w:pPr>
        <w:pStyle w:val="BodyText"/>
        <w:spacing w:before="121" w:line="288" w:lineRule="auto"/>
      </w:pPr>
      <w:r>
        <w:t>En 2023, l</w:t>
      </w:r>
      <w:hyperlink r:id="rId94">
        <w:r>
          <w:rPr>
            <w:color w:val="05037E"/>
            <w:u w:val="single" w:color="05037E"/>
          </w:rPr>
          <w:t xml:space="preserve">'implication de Frontex dans l'expulsion de ressortissants de pays tiers a augmenté </w:t>
        </w:r>
      </w:hyperlink>
      <w:r w:rsidR="00F833A2">
        <w:t>de 116 % pour</w:t>
      </w:r>
      <w:r>
        <w:t xml:space="preserve"> les retours dits volontaires et de 58 % dans </w:t>
      </w:r>
      <w:r w:rsidR="00F833A2">
        <w:t>l'ensemble. Cette analyse explor</w:t>
      </w:r>
      <w:r>
        <w:t>e les</w:t>
      </w:r>
      <w:r w:rsidR="00F833A2">
        <w:t xml:space="preserve"> consequences de </w:t>
      </w:r>
      <w:r>
        <w:t xml:space="preserve"> cet</w:t>
      </w:r>
      <w:r w:rsidR="00F833A2">
        <w:t>te expansion en</w:t>
      </w:r>
      <w:r>
        <w:t xml:space="preserve"> l'Afrique de l'Ouest.</w:t>
      </w:r>
    </w:p>
    <w:p w14:paraId="6BC18527" w14:textId="77777777" w:rsidR="00D66134" w:rsidRDefault="00B56B8E">
      <w:pPr>
        <w:pStyle w:val="Heading3"/>
        <w:spacing w:before="119"/>
      </w:pPr>
      <w:r>
        <w:t>Frontex et l'</w:t>
      </w:r>
      <w:r>
        <w:rPr>
          <w:spacing w:val="-2"/>
        </w:rPr>
        <w:t xml:space="preserve">Afrique de </w:t>
      </w:r>
      <w:r>
        <w:t>l'Ouest</w:t>
      </w:r>
    </w:p>
    <w:p w14:paraId="7A1E2A91" w14:textId="76A0BD64" w:rsidR="00D66134" w:rsidRDefault="00B56B8E">
      <w:pPr>
        <w:pStyle w:val="BodyText"/>
        <w:spacing w:before="172" w:line="288" w:lineRule="auto"/>
        <w:ind w:right="214"/>
      </w:pPr>
      <w:r>
        <w:t>Frontex est présente en Afrique de l'Ouest</w:t>
      </w:r>
      <w:r w:rsidR="00D94FB2">
        <w:t xml:space="preserve"> depuis long temps</w:t>
      </w:r>
      <w:r>
        <w:t>. L'</w:t>
      </w:r>
      <w:hyperlink r:id="rId95">
        <w:r>
          <w:rPr>
            <w:color w:val="05037E"/>
            <w:u w:val="single" w:color="05037E"/>
          </w:rPr>
          <w:t>opération Hera</w:t>
        </w:r>
      </w:hyperlink>
      <w:r>
        <w:t xml:space="preserve">, </w:t>
      </w:r>
      <w:r w:rsidR="00D94FB2">
        <w:t xml:space="preserve">lance en 2006, mène </w:t>
      </w:r>
      <w:r>
        <w:t>des patrouilles maritimes et aériennes au large des côtes du Sénégal, de la Maur</w:t>
      </w:r>
      <w:r w:rsidR="00D94FB2">
        <w:t>itanie, du Cap-Vert et du Maroc</w:t>
      </w:r>
      <w:r>
        <w:t xml:space="preserve">. Tous les pays d'Afrique de l'Ouest font partie de la </w:t>
      </w:r>
      <w:hyperlink r:id="rId96">
        <w:r>
          <w:rPr>
            <w:color w:val="05037E"/>
            <w:u w:val="single" w:color="05037E"/>
          </w:rPr>
          <w:t xml:space="preserve">communauté du renseignement Africa-Frontex </w:t>
        </w:r>
      </w:hyperlink>
      <w:hyperlink r:id="rId97">
        <w:r>
          <w:rPr>
            <w:color w:val="05037E"/>
            <w:u w:val="single" w:color="05037E"/>
          </w:rPr>
          <w:t>(AFIC)</w:t>
        </w:r>
      </w:hyperlink>
      <w:r>
        <w:t>, et le Nigeria, le Niger, le Togo, le Ghana, la Côte d'Ivoire, la Guinée, le</w:t>
      </w:r>
      <w:r w:rsidR="00D94FB2">
        <w:t xml:space="preserve"> Sénégal et la Mauritanie héberg</w:t>
      </w:r>
      <w:r>
        <w:t xml:space="preserve">ent des </w:t>
      </w:r>
      <w:hyperlink r:id="rId98">
        <w:r>
          <w:rPr>
            <w:color w:val="05037E"/>
            <w:u w:val="single" w:color="05037E"/>
          </w:rPr>
          <w:t>cellules d'analyse des risques</w:t>
        </w:r>
        <w:r>
          <w:t>.</w:t>
        </w:r>
      </w:hyperlink>
      <w:r w:rsidR="00D94FB2">
        <w:t xml:space="preserve">, </w:t>
      </w:r>
      <w:r>
        <w:t xml:space="preserve">utilisées pour collecter des données sur la criminalité transnationale et le </w:t>
      </w:r>
      <w:r>
        <w:rPr>
          <w:spacing w:val="-2"/>
        </w:rPr>
        <w:t xml:space="preserve">franchissement des </w:t>
      </w:r>
      <w:r>
        <w:t>frontières.</w:t>
      </w:r>
    </w:p>
    <w:p w14:paraId="7253F130" w14:textId="71F63BBB" w:rsidR="00D66134" w:rsidRDefault="00B56B8E">
      <w:pPr>
        <w:pStyle w:val="BodyText"/>
        <w:spacing w:before="120" w:line="288" w:lineRule="auto"/>
        <w:ind w:right="214"/>
      </w:pPr>
      <w:r>
        <w:t>L</w:t>
      </w:r>
      <w:hyperlink r:id="rId99">
        <w:r>
          <w:t>'</w:t>
        </w:r>
      </w:hyperlink>
      <w:r>
        <w:t xml:space="preserve">agence a également des accords de travail avec </w:t>
      </w:r>
      <w:hyperlink r:id="rId100">
        <w:r>
          <w:rPr>
            <w:color w:val="05037E"/>
            <w:u w:val="single" w:color="05037E"/>
          </w:rPr>
          <w:t>le Nigeria</w:t>
        </w:r>
      </w:hyperlink>
      <w:r>
        <w:t xml:space="preserve"> et le </w:t>
      </w:r>
      <w:hyperlink r:id="rId101">
        <w:r>
          <w:rPr>
            <w:color w:val="05037E"/>
            <w:u w:val="single" w:color="05037E"/>
          </w:rPr>
          <w:t>Cap-Vert</w:t>
        </w:r>
      </w:hyperlink>
      <w:r w:rsidR="00D94FB2">
        <w:t>, et en posséd</w:t>
      </w:r>
      <w:r>
        <w:t xml:space="preserve">ait un avec la </w:t>
      </w:r>
      <w:hyperlink r:id="rId102">
        <w:r>
          <w:rPr>
            <w:color w:val="05037E"/>
            <w:u w:val="single" w:color="05037E"/>
          </w:rPr>
          <w:t>mission de renforcement des capacités de l'UE au Niger</w:t>
        </w:r>
      </w:hyperlink>
      <w:r>
        <w:t xml:space="preserve"> (EUCAP Sahel Niger) jusqu'à ce que le gouvernement nigérien</w:t>
      </w:r>
      <w:r w:rsidR="00D94FB2">
        <w:t xml:space="preserve"> y </w:t>
      </w:r>
      <w:r w:rsidR="00D94FB2">
        <w:rPr>
          <w:color w:val="05037E"/>
          <w:u w:val="single" w:color="05037E"/>
        </w:rPr>
        <w:t>mette fin</w:t>
      </w:r>
      <w:r>
        <w:t>.</w:t>
      </w:r>
    </w:p>
    <w:p w14:paraId="1958A9AA" w14:textId="326CEA2A" w:rsidR="00D66134" w:rsidRDefault="00D66134" w:rsidP="007263BD">
      <w:pPr>
        <w:pStyle w:val="BodyText"/>
        <w:spacing w:before="119" w:line="288" w:lineRule="auto"/>
        <w:ind w:left="0" w:right="214"/>
        <w:jc w:val="both"/>
      </w:pPr>
    </w:p>
    <w:p w14:paraId="3A16AC9C" w14:textId="2398AB70" w:rsidR="009A05B4" w:rsidRDefault="009A05B4" w:rsidP="009A05B4">
      <w:pPr>
        <w:pStyle w:val="BodyText"/>
        <w:spacing w:before="119" w:line="288" w:lineRule="auto"/>
        <w:ind w:right="214"/>
        <w:jc w:val="both"/>
      </w:pPr>
      <w:r>
        <w:t>Ce type d'accord prévoit généralement l'échange d'informations, le renforcement des capacités en matière de gouvernance des frontières et la facilitation des accords de réadmission. Cependant ils ne requièrent ni l'approbation de la Commission européenne ni celle du Parlement européen, soulevant ainsi des questions de transparence et de démocratie.</w:t>
      </w:r>
    </w:p>
    <w:p w14:paraId="12E89EB0" w14:textId="77777777" w:rsidR="009A05B4" w:rsidRDefault="009A05B4" w:rsidP="009A05B4">
      <w:pPr>
        <w:pStyle w:val="BodyText"/>
        <w:spacing w:before="119" w:line="288" w:lineRule="auto"/>
        <w:ind w:right="214"/>
        <w:jc w:val="both"/>
      </w:pPr>
    </w:p>
    <w:p w14:paraId="79718F88" w14:textId="58285B67" w:rsidR="00D66134" w:rsidRDefault="00B56B8E" w:rsidP="009A05B4">
      <w:pPr>
        <w:pStyle w:val="BodyText"/>
        <w:spacing w:before="120" w:line="288" w:lineRule="auto"/>
      </w:pPr>
      <w:r>
        <w:t>Au-delà des accords de travail, des accords de statut peu</w:t>
      </w:r>
      <w:r w:rsidR="00C24E3B">
        <w:t>vent être conclus entre l'UE et</w:t>
      </w:r>
      <w:r>
        <w:t xml:space="preserve"> États</w:t>
      </w:r>
      <w:r w:rsidR="00C24E3B">
        <w:t xml:space="preserve"> tiers</w:t>
      </w:r>
      <w:r>
        <w:t xml:space="preserve">. Ils permettent le déploiement de fonctionnaires de Frontex dans des États non membres de l'UE. </w:t>
      </w:r>
      <w:r w:rsidR="009A05B4" w:rsidRPr="009A05B4">
        <w:t xml:space="preserve">Ceux-ci sont </w:t>
      </w:r>
      <w:r w:rsidR="009A05B4" w:rsidRPr="00C24E3B">
        <w:rPr>
          <w:bCs/>
        </w:rPr>
        <w:t>négociés par la Commission avec le pays concerné et doivent être approuvés par le Parlement européen</w:t>
      </w:r>
      <w:r w:rsidR="00C24E3B">
        <w:rPr>
          <w:b/>
          <w:bCs/>
        </w:rPr>
        <w:t>.</w:t>
      </w:r>
    </w:p>
    <w:p w14:paraId="149C5E21" w14:textId="360E3C3B" w:rsidR="00D66134" w:rsidRDefault="00D66134">
      <w:pPr>
        <w:pStyle w:val="BodyText"/>
        <w:spacing w:line="288" w:lineRule="auto"/>
      </w:pPr>
    </w:p>
    <w:p w14:paraId="5B2968BE" w14:textId="77777777" w:rsidR="009A05B4" w:rsidRDefault="009A05B4">
      <w:pPr>
        <w:pStyle w:val="BodyText"/>
        <w:spacing w:line="288" w:lineRule="auto"/>
        <w:sectPr w:rsidR="009A05B4">
          <w:pgSz w:w="11910" w:h="16840"/>
          <w:pgMar w:top="1320" w:right="1275" w:bottom="1960" w:left="1275" w:header="0" w:footer="1766" w:gutter="0"/>
          <w:cols w:space="720"/>
        </w:sectPr>
      </w:pPr>
    </w:p>
    <w:p w14:paraId="50626F37" w14:textId="32844CE8" w:rsidR="00D66134" w:rsidRDefault="00B56B8E">
      <w:pPr>
        <w:pStyle w:val="BodyText"/>
        <w:spacing w:before="120" w:line="288" w:lineRule="auto"/>
        <w:ind w:right="214"/>
      </w:pPr>
      <w:r>
        <w:t>L</w:t>
      </w:r>
      <w:r w:rsidR="00C24E3B">
        <w:t>es accords sur le statut permettent aux agents</w:t>
      </w:r>
      <w:r>
        <w:t xml:space="preserve"> de</w:t>
      </w:r>
      <w:r w:rsidR="00C24E3B">
        <w:t xml:space="preserve"> Frontex d’</w:t>
      </w:r>
      <w:r>
        <w:t xml:space="preserve">effectuer des contrôles et des surveillances aux frontières. En Afrique, l'UE </w:t>
      </w:r>
      <w:hyperlink r:id="rId103">
        <w:r w:rsidR="00C24E3B">
          <w:rPr>
            <w:color w:val="05037E"/>
            <w:u w:val="single" w:color="05037E"/>
          </w:rPr>
          <w:t>a déjà tenté de conclure</w:t>
        </w:r>
        <w:r>
          <w:rPr>
            <w:color w:val="05037E"/>
            <w:u w:val="single" w:color="05037E"/>
          </w:rPr>
          <w:t xml:space="preserve"> un tel</w:t>
        </w:r>
      </w:hyperlink>
      <w:r>
        <w:t xml:space="preserve"> accord avec la Mauritanie, et un accord avec le Sén</w:t>
      </w:r>
      <w:r w:rsidR="00C24E3B">
        <w:t>égal reste envisageable</w:t>
      </w:r>
      <w:r>
        <w:t>.</w:t>
      </w:r>
    </w:p>
    <w:p w14:paraId="76C58447" w14:textId="69A10DD4" w:rsidR="00C24E3B" w:rsidRDefault="00B56B8E" w:rsidP="007C54EF">
      <w:pPr>
        <w:pStyle w:val="BodyText"/>
        <w:spacing w:before="122" w:line="288" w:lineRule="auto"/>
        <w:ind w:right="244"/>
      </w:pPr>
      <w:r>
        <w:t xml:space="preserve">Ces </w:t>
      </w:r>
      <w:r w:rsidR="00C24E3B">
        <w:t>initiatives traduisent</w:t>
      </w:r>
      <w:r>
        <w:t xml:space="preserve"> </w:t>
      </w:r>
      <w:hyperlink r:id="rId104">
        <w:r w:rsidR="00C24E3B">
          <w:rPr>
            <w:color w:val="05037E"/>
            <w:u w:val="single" w:color="05037E"/>
          </w:rPr>
          <w:t>une tendance croiss</w:t>
        </w:r>
        <w:r>
          <w:rPr>
            <w:color w:val="05037E"/>
            <w:u w:val="single" w:color="05037E"/>
          </w:rPr>
          <w:t>ante à l'externalisation</w:t>
        </w:r>
      </w:hyperlink>
      <w:r w:rsidR="00C24E3B">
        <w:t>, soulèv</w:t>
      </w:r>
      <w:r>
        <w:t>ent des problèmes de souveraineté é</w:t>
      </w:r>
      <w:r w:rsidR="00C24E3B">
        <w:t>vidents et</w:t>
      </w:r>
      <w:r>
        <w:t xml:space="preserve"> </w:t>
      </w:r>
      <w:hyperlink r:id="rId105" w:anchor="page%3D273">
        <w:r w:rsidR="00C24E3B">
          <w:rPr>
            <w:color w:val="05037E"/>
            <w:u w:val="single" w:color="05037E"/>
          </w:rPr>
          <w:t>entravent</w:t>
        </w:r>
        <w:r>
          <w:rPr>
            <w:color w:val="05037E"/>
            <w:u w:val="single" w:color="05037E"/>
          </w:rPr>
          <w:t xml:space="preserve"> directe</w:t>
        </w:r>
        <w:r w:rsidR="007C54EF">
          <w:rPr>
            <w:color w:val="05037E"/>
            <w:u w:val="single" w:color="05037E"/>
          </w:rPr>
          <w:t>ment</w:t>
        </w:r>
        <w:r>
          <w:rPr>
            <w:color w:val="05037E"/>
            <w:u w:val="single" w:color="05037E"/>
          </w:rPr>
          <w:t xml:space="preserve"> la libre circulation au sein de la </w:t>
        </w:r>
      </w:hyperlink>
      <w:hyperlink r:id="rId106" w:anchor="page%3D273">
        <w:r>
          <w:rPr>
            <w:color w:val="05037E"/>
            <w:u w:val="single" w:color="05037E"/>
          </w:rPr>
          <w:t>Communauté économique des États de l'Afrique de l'Ouest (CEDEAO)</w:t>
        </w:r>
      </w:hyperlink>
      <w:r>
        <w:t>.</w:t>
      </w:r>
    </w:p>
    <w:p w14:paraId="2BE39E54" w14:textId="77777777" w:rsidR="00D66134" w:rsidRDefault="00B56B8E">
      <w:pPr>
        <w:pStyle w:val="Heading3"/>
        <w:spacing w:before="119"/>
      </w:pPr>
      <w:r>
        <w:t xml:space="preserve">Expulsion et </w:t>
      </w:r>
      <w:r>
        <w:rPr>
          <w:spacing w:val="-2"/>
        </w:rPr>
        <w:t>réintégration</w:t>
      </w:r>
    </w:p>
    <w:p w14:paraId="360B4ACD" w14:textId="7DD88BBE" w:rsidR="00207979" w:rsidRPr="00817BDA" w:rsidRDefault="00207979">
      <w:pPr>
        <w:pStyle w:val="BodyText"/>
        <w:spacing w:before="171" w:line="288" w:lineRule="auto"/>
        <w:ind w:right="214"/>
      </w:pPr>
      <w:r w:rsidRPr="00817BDA">
        <w:t>La politique de « réintégration » de l'UE a suscité moins d'attention publique que d'autres initiatives. Depuis 2018, l'Union européenne l'a mise en œuvre en impliquant des prestataires de services locaux via le Réseau européen pour le retour et la réintégration (ERRIN).</w:t>
      </w:r>
    </w:p>
    <w:p w14:paraId="3353F8D0" w14:textId="00CA0D64" w:rsidR="007C54EF" w:rsidRDefault="00207979" w:rsidP="00B8261F">
      <w:pPr>
        <w:pStyle w:val="BodyText"/>
        <w:spacing w:before="119" w:line="288" w:lineRule="auto"/>
        <w:ind w:right="214"/>
      </w:pPr>
      <w:r w:rsidRPr="00817BDA">
        <w:t>En 2022, l</w:t>
      </w:r>
      <w:r w:rsidR="00B56B8E" w:rsidRPr="00817BDA">
        <w:t>e Service commun de réintégration (JRS) d</w:t>
      </w:r>
      <w:r w:rsidRPr="00817BDA">
        <w:t>e Frontex a repris ERRIN, et l’a rebaptisé</w:t>
      </w:r>
      <w:r w:rsidR="00B56B8E" w:rsidRPr="00817BDA">
        <w:t xml:space="preserve"> Programme de réintégration de l'UE (EU-RP). Le fait de confier la politique de réintégration à un acteur clairement sécuritaire comme Frontex souligne encore davantage le lien entre le soi-disant retour volontaire et l'éloignement forcé évoqué plus haut.</w:t>
      </w:r>
    </w:p>
    <w:p w14:paraId="45CF8BBF" w14:textId="4C50427F" w:rsidR="00D66134" w:rsidRDefault="00B56B8E">
      <w:pPr>
        <w:pStyle w:val="BodyText"/>
        <w:spacing w:before="120" w:line="288" w:lineRule="auto"/>
        <w:ind w:right="214"/>
      </w:pPr>
      <w:r>
        <w:t>Des documents politiques</w:t>
      </w:r>
      <w:r w:rsidR="00C82638">
        <w:t xml:space="preserve"> révèlent récemment</w:t>
      </w:r>
      <w:r>
        <w:t xml:space="preserve"> </w:t>
      </w:r>
      <w:r w:rsidR="009D23F4">
        <w:t xml:space="preserve">l’intention d'étendre le </w:t>
      </w:r>
      <w:hyperlink r:id="rId107">
        <w:r w:rsidR="009D23F4">
          <w:rPr>
            <w:color w:val="05037E"/>
            <w:u w:val="single" w:color="05037E"/>
          </w:rPr>
          <w:t xml:space="preserve"> role</w:t>
        </w:r>
        <w:r>
          <w:rPr>
            <w:color w:val="05037E"/>
            <w:u w:val="single" w:color="05037E"/>
          </w:rPr>
          <w:t xml:space="preserve"> des </w:t>
        </w:r>
      </w:hyperlink>
      <w:hyperlink r:id="rId108">
        <w:r>
          <w:rPr>
            <w:color w:val="05037E"/>
            <w:u w:val="single" w:color="05037E"/>
          </w:rPr>
          <w:t xml:space="preserve">officiers de </w:t>
        </w:r>
      </w:hyperlink>
      <w:hyperlink r:id="rId109">
        <w:r>
          <w:rPr>
            <w:color w:val="05037E"/>
            <w:u w:val="single" w:color="05037E"/>
          </w:rPr>
          <w:t xml:space="preserve">liaison de Frontex </w:t>
        </w:r>
      </w:hyperlink>
      <w:hyperlink r:id="rId110">
        <w:r>
          <w:rPr>
            <w:color w:val="05037E"/>
            <w:u w:val="single" w:color="05037E"/>
          </w:rPr>
          <w:t>dans l'expulsion et la réintégration</w:t>
        </w:r>
      </w:hyperlink>
      <w:r w:rsidR="009D23F4">
        <w:t>, avec une augmentation</w:t>
      </w:r>
      <w:r>
        <w:t xml:space="preserve"> </w:t>
      </w:r>
      <w:hyperlink r:id="rId111">
        <w:r>
          <w:rPr>
            <w:color w:val="05037E"/>
            <w:u w:val="single" w:color="05037E"/>
          </w:rPr>
          <w:t>leur financement et leur déploiement</w:t>
        </w:r>
      </w:hyperlink>
      <w:r>
        <w:t>. L'obje</w:t>
      </w:r>
      <w:r w:rsidR="009D23F4">
        <w:t>ctif de Frontex est de renforcer</w:t>
      </w:r>
      <w:r>
        <w:t xml:space="preserve"> davantage de normalisation, de datafication et de numérisation dans l'expulsion et la réintégration.</w:t>
      </w:r>
    </w:p>
    <w:p w14:paraId="677CCAE5" w14:textId="7DC21191" w:rsidR="00C82638" w:rsidRDefault="00B56B8E">
      <w:pPr>
        <w:pStyle w:val="BodyText"/>
        <w:spacing w:before="120" w:line="288" w:lineRule="auto"/>
        <w:ind w:right="214"/>
      </w:pPr>
      <w:r>
        <w:rPr>
          <w:noProof/>
          <w:lang w:val="fr-FR" w:eastAsia="fr-FR"/>
        </w:rPr>
        <mc:AlternateContent>
          <mc:Choice Requires="wps">
            <w:drawing>
              <wp:anchor distT="0" distB="0" distL="0" distR="0" simplePos="0" relativeHeight="487281152" behindDoc="1" locked="0" layoutInCell="1" allowOverlap="1" wp14:anchorId="38C0CC5A" wp14:editId="576C7934">
                <wp:simplePos x="0" y="0"/>
                <wp:positionH relativeFrom="page">
                  <wp:posOffset>5580888</wp:posOffset>
                </wp:positionH>
                <wp:positionV relativeFrom="paragraph">
                  <wp:posOffset>222955</wp:posOffset>
                </wp:positionV>
                <wp:extent cx="47625" cy="1079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10795"/>
                        </a:xfrm>
                        <a:custGeom>
                          <a:avLst/>
                          <a:gdLst/>
                          <a:ahLst/>
                          <a:cxnLst/>
                          <a:rect l="l" t="t" r="r" b="b"/>
                          <a:pathLst>
                            <a:path w="47625" h="10795">
                              <a:moveTo>
                                <a:pt x="47244" y="0"/>
                              </a:moveTo>
                              <a:lnTo>
                                <a:pt x="0" y="0"/>
                              </a:lnTo>
                              <a:lnTo>
                                <a:pt x="0" y="10667"/>
                              </a:lnTo>
                              <a:lnTo>
                                <a:pt x="47244" y="10667"/>
                              </a:lnTo>
                              <a:lnTo>
                                <a:pt x="472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D5D90C" id="Graphic 5" o:spid="_x0000_s1026" style="position:absolute;margin-left:439.45pt;margin-top:17.55pt;width:3.75pt;height:.85pt;z-index:-16035328;visibility:visible;mso-wrap-style:square;mso-wrap-distance-left:0;mso-wrap-distance-top:0;mso-wrap-distance-right:0;mso-wrap-distance-bottom:0;mso-position-horizontal:absolute;mso-position-horizontal-relative:page;mso-position-vertical:absolute;mso-position-vertical-relative:text;v-text-anchor:top" coordsize="4762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" path="m47244,l,,,10667r47244,l47244,xe" fillcolor="black" stroked="f">
                <v:path arrowok="t"/>
                <w10:wrap anchorx="page"/>
              </v:shape>
            </w:pict>
          </mc:Fallback>
        </mc:AlternateContent>
      </w:r>
      <w:r>
        <w:rPr>
          <w:noProof/>
          <w:lang w:val="fr-FR" w:eastAsia="fr-FR"/>
        </w:rPr>
        <mc:AlternateContent>
          <mc:Choice Requires="wps">
            <w:drawing>
              <wp:anchor distT="0" distB="0" distL="0" distR="0" simplePos="0" relativeHeight="487281664" behindDoc="1" locked="0" layoutInCell="1" allowOverlap="1" wp14:anchorId="777297EE" wp14:editId="023B6FB7">
                <wp:simplePos x="0" y="0"/>
                <wp:positionH relativeFrom="page">
                  <wp:posOffset>3153155</wp:posOffset>
                </wp:positionH>
                <wp:positionV relativeFrom="paragraph">
                  <wp:posOffset>608514</wp:posOffset>
                </wp:positionV>
                <wp:extent cx="45720" cy="1079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10795"/>
                        </a:xfrm>
                        <a:custGeom>
                          <a:avLst/>
                          <a:gdLst/>
                          <a:ahLst/>
                          <a:cxnLst/>
                          <a:rect l="l" t="t" r="r" b="b"/>
                          <a:pathLst>
                            <a:path w="45720" h="10795">
                              <a:moveTo>
                                <a:pt x="45719" y="0"/>
                              </a:moveTo>
                              <a:lnTo>
                                <a:pt x="0" y="0"/>
                              </a:lnTo>
                              <a:lnTo>
                                <a:pt x="0" y="10680"/>
                              </a:lnTo>
                              <a:lnTo>
                                <a:pt x="45719" y="10680"/>
                              </a:lnTo>
                              <a:lnTo>
                                <a:pt x="457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7CF9B7" id="Graphic 6" o:spid="_x0000_s1026" style="position:absolute;margin-left:248.3pt;margin-top:47.9pt;width:3.6pt;height:.85pt;z-index:-16034816;visibility:visible;mso-wrap-style:square;mso-wrap-distance-left:0;mso-wrap-distance-top:0;mso-wrap-distance-right:0;mso-wrap-distance-bottom:0;mso-position-horizontal:absolute;mso-position-horizontal-relative:page;mso-position-vertical:absolute;mso-position-vertical-relative:text;v-text-anchor:top" coordsize="4572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" path="m45719,l,,,10680r45719,l45719,xe" fillcolor="black" stroked="f">
                <v:path arrowok="t"/>
                <w10:wrap anchorx="page"/>
              </v:shape>
            </w:pict>
          </mc:Fallback>
        </mc:AlternateContent>
      </w:r>
      <w:r>
        <w:t>Plus spécifiquement</w:t>
      </w:r>
      <w:hyperlink r:id="rId112">
        <w:r>
          <w:rPr>
            <w:color w:val="05037E"/>
            <w:u w:val="single" w:color="05037E"/>
          </w:rPr>
          <w:t xml:space="preserve">, </w:t>
        </w:r>
      </w:hyperlink>
      <w:r>
        <w:rPr>
          <w:color w:val="05037E"/>
          <w:u w:val="single" w:color="05037E"/>
        </w:rPr>
        <w:t>Fron</w:t>
      </w:r>
      <w:r w:rsidR="006247EF">
        <w:rPr>
          <w:color w:val="05037E"/>
          <w:u w:val="single" w:color="05037E"/>
        </w:rPr>
        <w:t xml:space="preserve">tex renforcera son </w:t>
      </w:r>
      <w:r w:rsidR="006247EF" w:rsidRPr="006247EF">
        <w:rPr>
          <w:color w:val="05037E"/>
          <w:u w:val="single" w:color="05037E"/>
        </w:rPr>
        <w:t xml:space="preserve">rôle </w:t>
      </w:r>
      <w:r w:rsidR="006247EF">
        <w:rPr>
          <w:color w:val="05037E"/>
          <w:u w:val="single" w:color="05037E"/>
        </w:rPr>
        <w:t xml:space="preserve">dans le </w:t>
      </w:r>
      <w:r w:rsidR="006247EF" w:rsidRPr="006247EF">
        <w:rPr>
          <w:color w:val="05037E"/>
          <w:u w:val="single" w:color="05037E"/>
        </w:rPr>
        <w:t>« conseil au retour »</w:t>
      </w:r>
      <w:r>
        <w:t xml:space="preserve"> en développant des formations</w:t>
      </w:r>
      <w:r w:rsidR="006247EF">
        <w:t xml:space="preserve"> spécialisées et des programmes dédiés. L’agence intensifi</w:t>
      </w:r>
      <w:r>
        <w:t xml:space="preserve">era </w:t>
      </w:r>
      <w:r w:rsidR="006247EF">
        <w:t xml:space="preserve">également </w:t>
      </w:r>
      <w:r>
        <w:t xml:space="preserve">l'extraction de données sur le </w:t>
      </w:r>
      <w:r>
        <w:rPr>
          <w:color w:val="05037E"/>
          <w:u w:val="single" w:color="05037E"/>
        </w:rPr>
        <w:t>concept flou de</w:t>
      </w:r>
      <w:r w:rsidR="006247EF">
        <w:rPr>
          <w:color w:val="05037E"/>
          <w:u w:val="single" w:color="05037E"/>
        </w:rPr>
        <w:t xml:space="preserve"> « réintégration durable »</w:t>
      </w:r>
      <w:r>
        <w:t xml:space="preserve"> ; </w:t>
      </w:r>
      <w:r w:rsidR="00817BDA">
        <w:t>et développera de nouveaux</w:t>
      </w:r>
      <w:r>
        <w:t xml:space="preserve"> </w:t>
      </w:r>
      <w:hyperlink r:id="rId113">
        <w:r>
          <w:rPr>
            <w:color w:val="05037E"/>
            <w:spacing w:val="-2"/>
            <w:u w:val="single" w:color="05037E"/>
          </w:rPr>
          <w:t xml:space="preserve">outils </w:t>
        </w:r>
      </w:hyperlink>
      <w:hyperlink r:id="rId114">
        <w:r w:rsidR="00817BDA">
          <w:rPr>
            <w:color w:val="05037E"/>
            <w:u w:val="single" w:color="05037E"/>
          </w:rPr>
          <w:t>numériques le suivi des expulsions et de</w:t>
        </w:r>
        <w:r>
          <w:rPr>
            <w:color w:val="05037E"/>
            <w:u w:val="single" w:color="05037E"/>
          </w:rPr>
          <w:t xml:space="preserve"> la réintégration</w:t>
        </w:r>
      </w:hyperlink>
      <w:r>
        <w:rPr>
          <w:spacing w:val="-2"/>
        </w:rPr>
        <w:t>.</w:t>
      </w:r>
      <w:r w:rsidR="00817BDA">
        <w:t xml:space="preserve"> </w:t>
      </w:r>
    </w:p>
    <w:p w14:paraId="5F2880D2" w14:textId="7E345A35" w:rsidR="00D66134" w:rsidRDefault="00B56B8E">
      <w:pPr>
        <w:pStyle w:val="BodyText"/>
        <w:spacing w:before="121" w:line="288" w:lineRule="auto"/>
      </w:pPr>
      <w:r>
        <w:t xml:space="preserve">Il s'agit notamment du système de gestion des cas de retour (RECAMAS), de l'application de gestion intégrée des retours (IRMA 2.0) et d'un </w:t>
      </w:r>
      <w:r w:rsidR="00175151">
        <w:t>« projet pilote d'entrepôt de données sur les retours »</w:t>
      </w:r>
      <w:r>
        <w:t>. Une application mobile pour la réintégration (RAPP) sera développée. En outre, les conseillers en matière de retour devraient</w:t>
      </w:r>
      <w:r w:rsidR="00175151">
        <w:t xml:space="preserve"> utiliser</w:t>
      </w:r>
      <w:r>
        <w:t xml:space="preserve"> l'outil d'assistance à la réintégration (RIAT), une interface numérique regroupant les informations et assurant le suivi de toutes les phases du retour et de la réintégration.</w:t>
      </w:r>
    </w:p>
    <w:p w14:paraId="1423C13F" w14:textId="6E652B01" w:rsidR="0017040C" w:rsidRDefault="00175151" w:rsidP="00175151">
      <w:pPr>
        <w:spacing w:before="121" w:line="400" w:lineRule="auto"/>
        <w:ind w:left="141" w:right="214"/>
      </w:pPr>
      <w:r>
        <w:t>Les sections suivantes analysent ces développements dans le context de la Gambie et du</w:t>
      </w:r>
      <w:r w:rsidR="00B56B8E">
        <w:t xml:space="preserve"> Nigéria. </w:t>
      </w:r>
    </w:p>
    <w:p w14:paraId="2FE2D38E" w14:textId="38901C0E" w:rsidR="00D66134" w:rsidRDefault="00B56B8E">
      <w:pPr>
        <w:spacing w:before="121" w:line="400" w:lineRule="auto"/>
        <w:ind w:left="141" w:right="214"/>
        <w:rPr>
          <w:b/>
          <w:i/>
        </w:rPr>
      </w:pPr>
      <w:r>
        <w:rPr>
          <w:b/>
        </w:rPr>
        <w:t xml:space="preserve">Le rôle croissant de Frontex et ses conséquences pour la Gambie et les migrants </w:t>
      </w:r>
      <w:r>
        <w:rPr>
          <w:b/>
          <w:i/>
        </w:rPr>
        <w:t>Questions de souveraineté</w:t>
      </w:r>
    </w:p>
    <w:p w14:paraId="75A21218" w14:textId="23DEF750" w:rsidR="00D66134" w:rsidRDefault="00B56B8E" w:rsidP="00764465">
      <w:pPr>
        <w:pStyle w:val="BodyText"/>
        <w:spacing w:before="2" w:line="288" w:lineRule="auto"/>
        <w:ind w:right="214"/>
      </w:pPr>
      <w:r>
        <w:t xml:space="preserve">La relation entre la Gambie et </w:t>
      </w:r>
      <w:r>
        <w:rPr>
          <w:spacing w:val="-1"/>
        </w:rPr>
        <w:t>l</w:t>
      </w:r>
      <w:r>
        <w:t>'UE sur l'expulsion des</w:t>
      </w:r>
      <w:r w:rsidR="00764465">
        <w:t xml:space="preserve"> migrants illégaux est complexe</w:t>
      </w:r>
      <w:r>
        <w:t xml:space="preserve">. En 2018, le gouvernement gambien et l'UE ont ratifié un </w:t>
      </w:r>
      <w:hyperlink r:id="rId115">
        <w:r>
          <w:rPr>
            <w:color w:val="05037E"/>
            <w:u w:val="single" w:color="05037E"/>
          </w:rPr>
          <w:t xml:space="preserve">document de </w:t>
        </w:r>
      </w:hyperlink>
      <w:hyperlink r:id="rId116">
        <w:r>
          <w:rPr>
            <w:color w:val="05037E"/>
            <w:u w:val="single" w:color="05037E"/>
          </w:rPr>
          <w:t xml:space="preserve">bonnes </w:t>
        </w:r>
      </w:hyperlink>
      <w:hyperlink r:id="rId117">
        <w:r>
          <w:rPr>
            <w:color w:val="05037E"/>
            <w:u w:val="single" w:color="05037E"/>
          </w:rPr>
          <w:t>pratiques sur les procédures de retour</w:t>
        </w:r>
      </w:hyperlink>
      <w:r>
        <w:t>. Ce document comprend des dispositions sur le soutien de l'UE à la réintégr</w:t>
      </w:r>
      <w:r w:rsidR="00764465">
        <w:t>ation des personnes expulsées. Cependant, en 2019,</w:t>
      </w:r>
      <w:r>
        <w:t xml:space="preserve"> le préside</w:t>
      </w:r>
      <w:r w:rsidR="00764465">
        <w:t>nt gambien Adama Barrow a instaur</w:t>
      </w:r>
      <w:r>
        <w:t>é un moratoire sur les ret</w:t>
      </w:r>
      <w:r w:rsidR="00764465">
        <w:t>ours forces,</w:t>
      </w:r>
      <w:r>
        <w:t xml:space="preserve"> </w:t>
      </w:r>
      <w:hyperlink r:id="rId118">
        <w:r w:rsidR="00764465">
          <w:rPr>
            <w:color w:val="05037E"/>
            <w:u w:val="single" w:color="05037E"/>
          </w:rPr>
          <w:t xml:space="preserve"> entraînant</w:t>
        </w:r>
        <w:r>
          <w:rPr>
            <w:color w:val="05037E"/>
            <w:u w:val="single" w:color="05037E"/>
          </w:rPr>
          <w:t xml:space="preserve"> des sanctions de l'UE</w:t>
        </w:r>
      </w:hyperlink>
      <w:r w:rsidR="00764465">
        <w:t>. Face à cette pression, le gouvernement gambien à finalement reculé</w:t>
      </w:r>
      <w:r>
        <w:t xml:space="preserve"> su</w:t>
      </w:r>
      <w:r w:rsidR="00764465">
        <w:t xml:space="preserve">r sa décision. Cet episode illustre </w:t>
      </w:r>
      <w:r w:rsidR="00FA22B9">
        <w:t>clairement</w:t>
      </w:r>
      <w:r w:rsidR="00764465">
        <w:t xml:space="preserve"> </w:t>
      </w:r>
      <w:hyperlink r:id="rId119">
        <w:r w:rsidR="00FA22B9">
          <w:rPr>
            <w:color w:val="05037E"/>
            <w:u w:val="single" w:color="05037E"/>
          </w:rPr>
          <w:t>les tens</w:t>
        </w:r>
        <w:r>
          <w:rPr>
            <w:color w:val="05037E"/>
            <w:u w:val="single" w:color="05037E"/>
          </w:rPr>
          <w:t>ions</w:t>
        </w:r>
        <w:r w:rsidR="00FA22B9">
          <w:rPr>
            <w:color w:val="05037E"/>
            <w:u w:val="single" w:color="05037E"/>
          </w:rPr>
          <w:t xml:space="preserve"> sur la</w:t>
        </w:r>
        <w:r>
          <w:rPr>
            <w:color w:val="05037E"/>
            <w:u w:val="single" w:color="05037E"/>
          </w:rPr>
          <w:t xml:space="preserve"> souveraineté</w:t>
        </w:r>
      </w:hyperlink>
      <w:r>
        <w:t xml:space="preserve"> dans les relations entre la Gambie et l'UE. L'assistance de l'UE est </w:t>
      </w:r>
      <w:r w:rsidR="00FA22B9">
        <w:t xml:space="preserve">désormais </w:t>
      </w:r>
      <w:r>
        <w:t>de plus en plus déléguée à Frontex</w:t>
      </w:r>
      <w:r w:rsidR="00FA22B9">
        <w:t>,</w:t>
      </w:r>
      <w:r>
        <w:t xml:space="preserve"> qui, compte tenu de ses </w:t>
      </w:r>
      <w:hyperlink r:id="rId120">
        <w:r>
          <w:rPr>
            <w:color w:val="05037E"/>
            <w:u w:val="single" w:color="05037E"/>
          </w:rPr>
          <w:t xml:space="preserve">nombreux antécédents </w:t>
        </w:r>
      </w:hyperlink>
      <w:hyperlink r:id="rId121">
        <w:r>
          <w:rPr>
            <w:color w:val="05037E"/>
            <w:u w:val="single" w:color="05037E"/>
          </w:rPr>
          <w:t xml:space="preserve">en matière de violations des </w:t>
        </w:r>
      </w:hyperlink>
      <w:hyperlink r:id="rId122">
        <w:r>
          <w:rPr>
            <w:color w:val="05037E"/>
            <w:u w:val="single" w:color="05037E"/>
          </w:rPr>
          <w:t xml:space="preserve">droits de l'homme </w:t>
        </w:r>
      </w:hyperlink>
      <w:hyperlink r:id="rId123">
        <w:r>
          <w:rPr>
            <w:color w:val="05037E"/>
            <w:u w:val="single" w:color="05037E"/>
          </w:rPr>
          <w:t>à l'intérieur et à l'extérieur du territoire de l'UE</w:t>
        </w:r>
      </w:hyperlink>
      <w:r>
        <w:t xml:space="preserve">, </w:t>
      </w:r>
      <w:r w:rsidR="00FA22B9">
        <w:t>suscitent de vives inquiétudes, exacerbant encore ces</w:t>
      </w:r>
      <w:r>
        <w:t xml:space="preserve"> préoccupation</w:t>
      </w:r>
      <w:r w:rsidR="00FA22B9">
        <w:t>s</w:t>
      </w:r>
      <w:r>
        <w:t>.</w:t>
      </w:r>
    </w:p>
    <w:p w14:paraId="4BBFD194" w14:textId="234C4EE9" w:rsidR="00764465" w:rsidRDefault="00764465">
      <w:pPr>
        <w:pStyle w:val="BodyText"/>
        <w:spacing w:before="77" w:line="288" w:lineRule="auto"/>
        <w:ind w:right="540" w:hanging="1"/>
        <w:jc w:val="both"/>
      </w:pPr>
    </w:p>
    <w:p w14:paraId="417C0069" w14:textId="67588D8B" w:rsidR="00FA22B9" w:rsidRDefault="00FA22B9">
      <w:pPr>
        <w:pStyle w:val="BodyText"/>
        <w:spacing w:before="77" w:line="288" w:lineRule="auto"/>
        <w:ind w:right="540" w:hanging="1"/>
        <w:jc w:val="both"/>
      </w:pPr>
    </w:p>
    <w:p w14:paraId="4B3AF6EB" w14:textId="559E6B9E" w:rsidR="00FA22B9" w:rsidRDefault="00FA22B9">
      <w:pPr>
        <w:pStyle w:val="BodyText"/>
        <w:spacing w:before="77" w:line="288" w:lineRule="auto"/>
        <w:ind w:right="540" w:hanging="1"/>
        <w:jc w:val="both"/>
      </w:pPr>
    </w:p>
    <w:p w14:paraId="39936D5B" w14:textId="440AAE4D" w:rsidR="00FA22B9" w:rsidRDefault="00FA22B9">
      <w:pPr>
        <w:pStyle w:val="BodyText"/>
        <w:spacing w:before="77" w:line="288" w:lineRule="auto"/>
        <w:ind w:right="540" w:hanging="1"/>
        <w:jc w:val="both"/>
      </w:pPr>
    </w:p>
    <w:p w14:paraId="68CD9EC1" w14:textId="77777777" w:rsidR="00FA22B9" w:rsidRDefault="00FA22B9">
      <w:pPr>
        <w:pStyle w:val="BodyText"/>
        <w:spacing w:before="77" w:line="288" w:lineRule="auto"/>
        <w:ind w:right="540" w:hanging="1"/>
        <w:jc w:val="both"/>
      </w:pPr>
    </w:p>
    <w:p w14:paraId="659D1EB9" w14:textId="77777777" w:rsidR="00D66134" w:rsidRDefault="00B56B8E">
      <w:pPr>
        <w:pStyle w:val="Heading4"/>
        <w:spacing w:before="122"/>
        <w:jc w:val="both"/>
      </w:pPr>
      <w:r>
        <w:t xml:space="preserve">La lutte des déportés pour </w:t>
      </w:r>
      <w:r>
        <w:rPr>
          <w:spacing w:val="-2"/>
        </w:rPr>
        <w:t>le soutien</w:t>
      </w:r>
    </w:p>
    <w:p w14:paraId="57B090B9" w14:textId="6EA55967" w:rsidR="00D66134" w:rsidRDefault="00B56B8E">
      <w:pPr>
        <w:pStyle w:val="BodyText"/>
        <w:spacing w:before="169" w:line="288" w:lineRule="auto"/>
        <w:ind w:right="147"/>
      </w:pPr>
      <w:r>
        <w:t>L'</w:t>
      </w:r>
      <w:hyperlink r:id="rId124">
        <w:r>
          <w:rPr>
            <w:color w:val="05037E"/>
            <w:u w:val="single" w:color="05037E"/>
          </w:rPr>
          <w:t>extension du mandat de</w:t>
        </w:r>
      </w:hyperlink>
      <w:r>
        <w:t xml:space="preserve"> l'officier de liaison de </w:t>
      </w:r>
      <w:r w:rsidR="00213E29">
        <w:t xml:space="preserve">Frontex basé au Sénégal implique désormais l’agence </w:t>
      </w:r>
      <w:r>
        <w:t xml:space="preserve"> dans les opératio</w:t>
      </w:r>
      <w:r w:rsidR="00213E29">
        <w:t>ns d'expulsion vers la Gambie. Jusqu’à present, l</w:t>
      </w:r>
      <w:r>
        <w:t xml:space="preserve">'assistance à la réintégration financée par l'UE dans le cadre de ce que l'on appelle le retour volontaire assisté était </w:t>
      </w:r>
      <w:hyperlink r:id="rId125">
        <w:r>
          <w:rPr>
            <w:color w:val="05037E"/>
            <w:u w:val="single" w:color="05037E"/>
          </w:rPr>
          <w:t>auparavant</w:t>
        </w:r>
      </w:hyperlink>
      <w:r w:rsidR="00213E29">
        <w:t xml:space="preserve"> assurée</w:t>
      </w:r>
      <w:r>
        <w:t xml:space="preserve"> par le Bureau de développement catholique gambien (CaDO), sous la supervision de Cari</w:t>
      </w:r>
      <w:r w:rsidR="00213E29">
        <w:t>tas International Belgique, via</w:t>
      </w:r>
      <w:r>
        <w:t xml:space="preserve"> le</w:t>
      </w:r>
      <w:r w:rsidR="00213E29">
        <w:t xml:space="preserve"> programme </w:t>
      </w:r>
      <w:r>
        <w:t>ERRIN.</w:t>
      </w:r>
    </w:p>
    <w:p w14:paraId="6000A3C5" w14:textId="68DE2C3E" w:rsidR="00213E29" w:rsidRDefault="00A70F8B" w:rsidP="00A70F8B">
      <w:pPr>
        <w:pStyle w:val="BodyText"/>
        <w:spacing w:before="121" w:line="288" w:lineRule="auto"/>
        <w:ind w:right="275"/>
      </w:pPr>
      <w:r>
        <w:t>Comme mentionné précédemment, Frontex a pris en charge le Programme de reintegration (PR)</w:t>
      </w:r>
      <w:r w:rsidR="00B56B8E">
        <w:t xml:space="preserve"> d</w:t>
      </w:r>
      <w:r>
        <w:t>e l'UE en 2022. A la suite de cette transition</w:t>
      </w:r>
      <w:r w:rsidR="00B56B8E">
        <w:t xml:space="preserve">, </w:t>
      </w:r>
      <w:r>
        <w:t xml:space="preserve">l’agence a établi </w:t>
      </w:r>
      <w:r w:rsidR="00B56B8E">
        <w:t xml:space="preserve">un </w:t>
      </w:r>
      <w:hyperlink r:id="rId126">
        <w:r w:rsidR="00B56B8E">
          <w:rPr>
            <w:color w:val="05037E"/>
            <w:u w:val="single" w:color="05037E"/>
          </w:rPr>
          <w:t>partenariat</w:t>
        </w:r>
      </w:hyperlink>
      <w:r w:rsidR="00B56B8E">
        <w:t xml:space="preserve"> avec Caritas International Belgiqu</w:t>
      </w:r>
      <w:r>
        <w:t>e et CaDo. Ce partenariat vise à fournir</w:t>
      </w:r>
      <w:r w:rsidR="00B56B8E">
        <w:t xml:space="preserve"> une assistance post-arrivée et une aide à la réintégration aux rapatriés, y compris un hébergement temporaire et à long terme, un capital de départ pour le développement d'une entreprise, la scolarisation et la formation.</w:t>
      </w:r>
    </w:p>
    <w:p w14:paraId="44C647BE" w14:textId="77777777" w:rsidR="00213E29" w:rsidRDefault="00213E29">
      <w:pPr>
        <w:pStyle w:val="BodyText"/>
        <w:spacing w:before="121" w:line="288" w:lineRule="auto"/>
        <w:ind w:right="275"/>
      </w:pPr>
    </w:p>
    <w:p w14:paraId="23A028BF" w14:textId="2C5712AD" w:rsidR="00D66134" w:rsidRPr="003C2686" w:rsidRDefault="00A0676B">
      <w:pPr>
        <w:pStyle w:val="BodyText"/>
        <w:spacing w:before="120" w:line="288" w:lineRule="auto"/>
        <w:ind w:right="275"/>
      </w:pPr>
      <w:hyperlink r:id="rId127">
        <w:r w:rsidRPr="003C2686">
          <w:rPr>
            <w:color w:val="05037E"/>
            <w:u w:val="single" w:color="05037E"/>
          </w:rPr>
          <w:t>Les anciens bénéficiaires</w:t>
        </w:r>
        <w:r w:rsidR="00B56B8E" w:rsidRPr="003C2686">
          <w:rPr>
            <w:color w:val="05037E"/>
            <w:u w:val="single" w:color="05037E"/>
          </w:rPr>
          <w:t xml:space="preserve"> d'ERRIN</w:t>
        </w:r>
      </w:hyperlink>
      <w:r w:rsidRPr="003C2686">
        <w:t xml:space="preserve"> ont signalé des retards dans la l’obten</w:t>
      </w:r>
      <w:r w:rsidR="00B56B8E" w:rsidRPr="003C2686">
        <w:t>tion de l'aide, un suivi in</w:t>
      </w:r>
      <w:r w:rsidRPr="003C2686">
        <w:t xml:space="preserve">suffisant  une </w:t>
      </w:r>
      <w:r w:rsidR="00B56B8E" w:rsidRPr="003C2686">
        <w:t>confusion quant</w:t>
      </w:r>
      <w:r w:rsidRPr="003C2686">
        <w:t xml:space="preserve"> aux différentes formes d</w:t>
      </w:r>
      <w:r w:rsidR="00B56B8E" w:rsidRPr="003C2686">
        <w:t>'assistance</w:t>
      </w:r>
      <w:r w:rsidRPr="003C2686">
        <w:t xml:space="preserve"> proposées</w:t>
      </w:r>
      <w:r w:rsidR="00B56B8E" w:rsidRPr="003C2686">
        <w:t xml:space="preserve"> </w:t>
      </w:r>
      <w:r w:rsidRPr="003C2686">
        <w:t>par les partenaires, notamment</w:t>
      </w:r>
      <w:r w:rsidR="00B56B8E" w:rsidRPr="003C2686">
        <w:t xml:space="preserve"> l'Organisation internationale pour </w:t>
      </w:r>
      <w:r w:rsidRPr="003C2686">
        <w:t>les migrations (OIM). L'implication de Frontex</w:t>
      </w:r>
      <w:r w:rsidR="00B56B8E" w:rsidRPr="003C2686">
        <w:t xml:space="preserve"> dans </w:t>
      </w:r>
      <w:hyperlink r:id="rId128">
        <w:r w:rsidR="00B56B8E" w:rsidRPr="003C2686">
          <w:rPr>
            <w:color w:val="05037E"/>
            <w:u w:val="single" w:color="05037E"/>
          </w:rPr>
          <w:t>un paysage déjà saturé d</w:t>
        </w:r>
      </w:hyperlink>
      <w:r w:rsidR="00B56B8E" w:rsidRPr="003C2686">
        <w:t xml:space="preserve">'acteurs humanitaires et de développement </w:t>
      </w:r>
      <w:r w:rsidRPr="003C2686">
        <w:t xml:space="preserve"> ajoute </w:t>
      </w:r>
      <w:r w:rsidR="00B56B8E" w:rsidRPr="003C2686">
        <w:t>un élément de complexification excessive.</w:t>
      </w:r>
    </w:p>
    <w:p w14:paraId="7F342F61" w14:textId="290FF5B2" w:rsidR="00A70F8B" w:rsidRDefault="00B56B8E" w:rsidP="003C2686">
      <w:pPr>
        <w:pStyle w:val="BodyText"/>
        <w:spacing w:before="119" w:line="288" w:lineRule="auto"/>
      </w:pPr>
      <w:r w:rsidRPr="003C2686">
        <w:t xml:space="preserve">Quant </w:t>
      </w:r>
      <w:r w:rsidRPr="003C2686">
        <w:rPr>
          <w:spacing w:val="-1"/>
        </w:rPr>
        <w:t xml:space="preserve">à </w:t>
      </w:r>
      <w:r w:rsidRPr="003C2686">
        <w:t>Caritas, sa volonté de travailler avec</w:t>
      </w:r>
      <w:r w:rsidR="00A0676B" w:rsidRPr="003C2686">
        <w:t xml:space="preserve"> Frontex confirme les analyse</w:t>
      </w:r>
      <w:r w:rsidRPr="003C2686">
        <w:t>s des chercheurs sur l'</w:t>
      </w:r>
      <w:hyperlink r:id="rId129">
        <w:r w:rsidRPr="003C2686">
          <w:rPr>
            <w:color w:val="05037E"/>
            <w:u w:val="single" w:color="05037E"/>
          </w:rPr>
          <w:t>intégration</w:t>
        </w:r>
      </w:hyperlink>
      <w:r w:rsidRPr="003C2686">
        <w:t xml:space="preserve"> croissante </w:t>
      </w:r>
      <w:hyperlink r:id="rId130">
        <w:r w:rsidRPr="003C2686">
          <w:rPr>
            <w:color w:val="05037E"/>
            <w:u w:val="single" w:color="05037E"/>
          </w:rPr>
          <w:t xml:space="preserve">des soi-disant acteurs humanitaires dans un </w:t>
        </w:r>
      </w:hyperlink>
      <w:hyperlink r:id="rId131">
        <w:r w:rsidRPr="003C2686">
          <w:rPr>
            <w:color w:val="05037E"/>
            <w:u w:val="single" w:color="05037E"/>
          </w:rPr>
          <w:t xml:space="preserve">paysage de gouvernance </w:t>
        </w:r>
      </w:hyperlink>
      <w:hyperlink r:id="rId132">
        <w:r w:rsidRPr="003C2686">
          <w:rPr>
            <w:color w:val="05037E"/>
            <w:u w:val="single" w:color="05037E"/>
          </w:rPr>
          <w:t>migratoire essentiellement sécuritaire</w:t>
        </w:r>
      </w:hyperlink>
      <w:r w:rsidRPr="003C2686">
        <w:t>.</w:t>
      </w:r>
    </w:p>
    <w:p w14:paraId="2E24CE19" w14:textId="77777777" w:rsidR="00D66134" w:rsidRDefault="00B56B8E">
      <w:pPr>
        <w:pStyle w:val="Heading4"/>
        <w:spacing w:before="122"/>
      </w:pPr>
      <w:r>
        <w:t xml:space="preserve">Conséquences pour le </w:t>
      </w:r>
      <w:r>
        <w:rPr>
          <w:spacing w:val="-2"/>
        </w:rPr>
        <w:t xml:space="preserve">paysage de la </w:t>
      </w:r>
      <w:r>
        <w:t>société civile</w:t>
      </w:r>
    </w:p>
    <w:p w14:paraId="55036B8C" w14:textId="6E17CFDF" w:rsidR="00D66134" w:rsidRDefault="00B56B8E">
      <w:pPr>
        <w:pStyle w:val="BodyText"/>
        <w:spacing w:before="169" w:line="288" w:lineRule="auto"/>
        <w:ind w:left="141" w:right="214"/>
      </w:pPr>
      <w:r>
        <w:t>La normalisation des outils numériques et des programmes d</w:t>
      </w:r>
      <w:r w:rsidR="009B1B2D">
        <w:t>e formation mentionnés ci-dessus</w:t>
      </w:r>
      <w:r>
        <w:t xml:space="preserve"> peut </w:t>
      </w:r>
      <w:r w:rsidR="009B1B2D">
        <w:t>bénéficier à Frontex et aux fonctionnaires qui collaborent avec l’agence</w:t>
      </w:r>
      <w:r>
        <w:t>, mais</w:t>
      </w:r>
      <w:r w:rsidR="009B1B2D">
        <w:t xml:space="preserve"> </w:t>
      </w:r>
      <w:r w:rsidR="008C75E9">
        <w:t xml:space="preserve">risqué </w:t>
      </w:r>
      <w:r w:rsidR="008C75E9" w:rsidRPr="008C75E9">
        <w:t>d'être</w:t>
      </w:r>
      <w:r>
        <w:t xml:space="preserve"> préjudiciable</w:t>
      </w:r>
      <w:r w:rsidR="009B1B2D">
        <w:t xml:space="preserve"> aux personnes concernées, en raison des differences de situations, de pays et de contextes.</w:t>
      </w:r>
      <w:r>
        <w:t xml:space="preserve"> </w:t>
      </w:r>
      <w:r w:rsidR="009B1B2D">
        <w:t>De plus,</w:t>
      </w:r>
      <w:r w:rsidR="008C75E9">
        <w:t xml:space="preserve"> l’intensifiaction de l’extraction de données soulève des problems de confidentialité et de protection de la vie privée.</w:t>
      </w:r>
      <w:r w:rsidR="009B1B2D">
        <w:t xml:space="preserve"> </w:t>
      </w:r>
    </w:p>
    <w:p w14:paraId="69620BCC" w14:textId="19B15680" w:rsidR="009B1B2D" w:rsidRDefault="005308FE" w:rsidP="005308FE">
      <w:pPr>
        <w:pStyle w:val="BodyText"/>
        <w:spacing w:before="120" w:line="288" w:lineRule="auto"/>
        <w:ind w:right="147"/>
      </w:pPr>
      <w:r>
        <w:t>L’augmentation</w:t>
      </w:r>
      <w:r w:rsidR="00B56B8E">
        <w:t xml:space="preserve"> les fonds pour renforcer le rôle de Frontex dans l'expulsion et la réintégration </w:t>
      </w:r>
      <w:r w:rsidR="008C75E9">
        <w:t>consolidera advantage la position</w:t>
      </w:r>
      <w:r w:rsidR="00B56B8E">
        <w:t xml:space="preserve"> de l'agence </w:t>
      </w:r>
      <w:r w:rsidR="00B56B8E">
        <w:rPr>
          <w:i/>
        </w:rPr>
        <w:t xml:space="preserve">vis-à-vis des </w:t>
      </w:r>
      <w:r w:rsidR="00B56B8E">
        <w:t>a</w:t>
      </w:r>
      <w:r w:rsidR="008C75E9">
        <w:t>cteurs de la société civile implant</w:t>
      </w:r>
      <w:r w:rsidR="00B56B8E">
        <w:t>és localement e</w:t>
      </w:r>
      <w:r w:rsidR="008C75E9">
        <w:t xml:space="preserve">n Gambie. Cela inclut des </w:t>
      </w:r>
      <w:r w:rsidR="00B56B8E">
        <w:t>organisations diri</w:t>
      </w:r>
      <w:r w:rsidR="008C75E9">
        <w:t>gées par des déportés qui tentent de</w:t>
      </w:r>
      <w:r w:rsidR="00B56B8E">
        <w:t xml:space="preserve"> s'</w:t>
      </w:r>
      <w:r w:rsidR="008C75E9">
        <w:t xml:space="preserve">émanciper </w:t>
      </w:r>
      <w:r w:rsidR="00B56B8E">
        <w:t>d'acteurs p</w:t>
      </w:r>
      <w:r>
        <w:t xml:space="preserve">lus puissants, comme l'OIM, accuse d’instrumentaliser </w:t>
      </w:r>
      <w:hyperlink r:id="rId133">
        <w:r w:rsidR="00B56B8E">
          <w:rPr>
            <w:color w:val="05037E"/>
            <w:u w:val="single" w:color="05037E"/>
          </w:rPr>
          <w:t>politiquement et financièrement</w:t>
        </w:r>
      </w:hyperlink>
      <w:r w:rsidR="00B56B8E">
        <w:t xml:space="preserve"> </w:t>
      </w:r>
      <w:r>
        <w:t>ces communautés sous prétexte</w:t>
      </w:r>
      <w:r w:rsidR="00B56B8E">
        <w:t xml:space="preserve"> d'une gestion efficace des migrations.</w:t>
      </w:r>
    </w:p>
    <w:p w14:paraId="1A1E4318" w14:textId="77777777" w:rsidR="00D66134" w:rsidRDefault="00B56B8E">
      <w:pPr>
        <w:pStyle w:val="Heading3"/>
        <w:spacing w:before="122"/>
      </w:pPr>
      <w:r>
        <w:t xml:space="preserve">Le renforcement du rôle de Frontex et ses conséquences pour le Nigeria et les </w:t>
      </w:r>
      <w:r>
        <w:rPr>
          <w:spacing w:val="-2"/>
        </w:rPr>
        <w:t>migrants</w:t>
      </w:r>
    </w:p>
    <w:p w14:paraId="1600AD17" w14:textId="77777777" w:rsidR="00D66134" w:rsidRDefault="00B56B8E">
      <w:pPr>
        <w:pStyle w:val="Heading4"/>
        <w:spacing w:before="169"/>
        <w:ind w:left="141"/>
      </w:pPr>
      <w:r>
        <w:rPr>
          <w:spacing w:val="-2"/>
        </w:rPr>
        <w:t xml:space="preserve">Questions de </w:t>
      </w:r>
      <w:r>
        <w:t>souveraineté</w:t>
      </w:r>
    </w:p>
    <w:p w14:paraId="1256F813" w14:textId="091D3E09" w:rsidR="00EB1025" w:rsidRDefault="00B56B8E" w:rsidP="00BC4D36">
      <w:pPr>
        <w:pStyle w:val="BodyText"/>
        <w:spacing w:before="172" w:line="288" w:lineRule="auto"/>
        <w:ind w:right="209"/>
      </w:pPr>
      <w:r>
        <w:rPr>
          <w:noProof/>
          <w:lang w:val="fr-FR" w:eastAsia="fr-FR"/>
        </w:rPr>
        <mc:AlternateContent>
          <mc:Choice Requires="wps">
            <w:drawing>
              <wp:anchor distT="0" distB="0" distL="0" distR="0" simplePos="0" relativeHeight="487282176" behindDoc="1" locked="0" layoutInCell="1" allowOverlap="1" wp14:anchorId="3D396279" wp14:editId="5D838F21">
                <wp:simplePos x="0" y="0"/>
                <wp:positionH relativeFrom="page">
                  <wp:posOffset>3377184</wp:posOffset>
                </wp:positionH>
                <wp:positionV relativeFrom="paragraph">
                  <wp:posOffset>1218713</wp:posOffset>
                </wp:positionV>
                <wp:extent cx="40005" cy="1079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10795"/>
                        </a:xfrm>
                        <a:custGeom>
                          <a:avLst/>
                          <a:gdLst/>
                          <a:ahLst/>
                          <a:cxnLst/>
                          <a:rect l="l" t="t" r="r" b="b"/>
                          <a:pathLst>
                            <a:path w="40005" h="10795">
                              <a:moveTo>
                                <a:pt x="39611" y="0"/>
                              </a:moveTo>
                              <a:lnTo>
                                <a:pt x="0" y="0"/>
                              </a:lnTo>
                              <a:lnTo>
                                <a:pt x="0" y="10667"/>
                              </a:lnTo>
                              <a:lnTo>
                                <a:pt x="39611" y="10667"/>
                              </a:lnTo>
                              <a:lnTo>
                                <a:pt x="3961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FFAF83B" id="Graphic 7" o:spid="_x0000_s1026" style="position:absolute;margin-left:265.9pt;margin-top:95.95pt;width:3.15pt;height:.85pt;z-index:-16034304;visibility:visible;mso-wrap-style:square;mso-wrap-distance-left:0;mso-wrap-distance-top:0;mso-wrap-distance-right:0;mso-wrap-distance-bottom:0;mso-position-horizontal:absolute;mso-position-horizontal-relative:page;mso-position-vertical:absolute;mso-position-vertical-relative:text;v-text-anchor:top" coordsize="4000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" path="m39611,l,,,10667r39611,l39611,xe" fillcolor="black" stroked="f">
                <v:path arrowok="t"/>
                <w10:wrap anchorx="page"/>
              </v:shape>
            </w:pict>
          </mc:Fallback>
        </mc:AlternateContent>
      </w:r>
      <w:r>
        <w:t xml:space="preserve">La collaboration de Frontex avec le gouvernement nigérian, </w:t>
      </w:r>
      <w:r w:rsidR="005308FE">
        <w:t>notamment le</w:t>
      </w:r>
      <w:r>
        <w:t xml:space="preserve"> Service d'immigration du Nigéria (NIS), soulève </w:t>
      </w:r>
      <w:r w:rsidR="005308FE">
        <w:t>des</w:t>
      </w:r>
      <w:r>
        <w:t xml:space="preserve"> questions</w:t>
      </w:r>
      <w:r w:rsidR="00EB1025">
        <w:t xml:space="preserve"> majeures</w:t>
      </w:r>
      <w:r>
        <w:t xml:space="preserve"> sur la souveraineté nationale. L'</w:t>
      </w:r>
      <w:hyperlink r:id="rId134">
        <w:r>
          <w:rPr>
            <w:color w:val="05037E"/>
            <w:u w:val="single" w:color="05037E"/>
          </w:rPr>
          <w:t>accord de travail</w:t>
        </w:r>
      </w:hyperlink>
      <w:r w:rsidR="00EB1025">
        <w:t xml:space="preserve"> en place, signé en 2012, ainsi que la</w:t>
      </w:r>
      <w:r>
        <w:t xml:space="preserve"> stratégie de gestion des frontières du NIS </w:t>
      </w:r>
      <w:r>
        <w:rPr>
          <w:color w:val="05037E"/>
          <w:u w:val="single" w:color="05037E"/>
        </w:rPr>
        <w:t xml:space="preserve">(2019-2023) </w:t>
      </w:r>
      <w:r w:rsidR="00EB1025">
        <w:t xml:space="preserve"> illustre</w:t>
      </w:r>
      <w:r>
        <w:t xml:space="preserve"> un dialogue et une coopération structurés qui </w:t>
      </w:r>
      <w:r w:rsidR="00EB1025">
        <w:t xml:space="preserve">pourrait nuire à </w:t>
      </w:r>
      <w:r>
        <w:t>l'autonomie du Nigéria dans la gestion de ses politiques migratoires. Les autorités nigérianes sont encouragées à inten</w:t>
      </w:r>
      <w:r w:rsidR="00EB1025">
        <w:t>sifier leurs efforts pour la mise</w:t>
      </w:r>
      <w:r>
        <w:t xml:space="preserve"> en œuvre l'</w:t>
      </w:r>
      <w:hyperlink r:id="rId135">
        <w:r>
          <w:rPr>
            <w:color w:val="05037E"/>
            <w:u w:val="single" w:color="05037E"/>
          </w:rPr>
          <w:t>accord</w:t>
        </w:r>
      </w:hyperlink>
      <w:r>
        <w:t xml:space="preserve">, </w:t>
      </w:r>
      <w:r w:rsidR="00EB1025">
        <w:t xml:space="preserve">une pression qui risqué de porter atteinte </w:t>
      </w:r>
      <w:r>
        <w:t>à la souveraineté du pays.</w:t>
      </w:r>
    </w:p>
    <w:p w14:paraId="513ED657" w14:textId="7C38F63F" w:rsidR="00D66134" w:rsidRDefault="00B56B8E">
      <w:pPr>
        <w:pStyle w:val="BodyText"/>
        <w:spacing w:before="77" w:line="288" w:lineRule="auto"/>
        <w:ind w:right="214"/>
      </w:pPr>
      <w:r>
        <w:t>L'accent mis sur le rôle de Frontex dans la gestion des frontières et les opérations</w:t>
      </w:r>
      <w:r w:rsidR="00BC4D36">
        <w:t xml:space="preserve"> de retour suggère un transfert</w:t>
      </w:r>
      <w:r>
        <w:t xml:space="preserve"> de co</w:t>
      </w:r>
      <w:r w:rsidR="00BC4D36">
        <w:t>ntrôle qui pourrait limiter</w:t>
      </w:r>
      <w:r>
        <w:t xml:space="preserve"> la capacité du Nigeria à protéger les droits de ses citoyens</w:t>
      </w:r>
      <w:r w:rsidR="00BC4D36">
        <w:t xml:space="preserve">. </w:t>
      </w:r>
      <w:r w:rsidR="00BC4D36" w:rsidRPr="00BC4D36">
        <w:t>Ce changement risque d'entraver la liberté de circulation des Nigérians cherchant à franchir la frontière, que ce soit pour fuir l'insécurité (banditisme, enlèvements, conflits) ou pour accéder à de meilleures opportunités économiques</w:t>
      </w:r>
      <w:r w:rsidR="00BC4D36">
        <w:t>.</w:t>
      </w:r>
    </w:p>
    <w:p w14:paraId="304BD6BC" w14:textId="084137F5" w:rsidR="00BC4D36" w:rsidRDefault="00BC4D36">
      <w:pPr>
        <w:pStyle w:val="BodyText"/>
        <w:spacing w:before="77" w:line="288" w:lineRule="auto"/>
        <w:ind w:right="214"/>
      </w:pPr>
    </w:p>
    <w:p w14:paraId="490C56DE" w14:textId="77777777" w:rsidR="00BC4D36" w:rsidRDefault="00BC4D36">
      <w:pPr>
        <w:pStyle w:val="BodyText"/>
        <w:spacing w:before="77" w:line="288" w:lineRule="auto"/>
        <w:ind w:right="214"/>
      </w:pPr>
    </w:p>
    <w:p w14:paraId="72B1B539" w14:textId="77777777" w:rsidR="00D66134" w:rsidRDefault="00B56B8E">
      <w:pPr>
        <w:pStyle w:val="Heading4"/>
      </w:pPr>
      <w:r>
        <w:t xml:space="preserve">Privilégier l'expulsion à la </w:t>
      </w:r>
      <w:r>
        <w:rPr>
          <w:spacing w:val="-2"/>
        </w:rPr>
        <w:t>réintégration</w:t>
      </w:r>
    </w:p>
    <w:p w14:paraId="268241F2" w14:textId="4C0D1C52" w:rsidR="00D66134" w:rsidRDefault="00B56B8E">
      <w:pPr>
        <w:pStyle w:val="BodyText"/>
        <w:spacing w:before="172" w:line="288" w:lineRule="auto"/>
        <w:ind w:right="275" w:hanging="1"/>
      </w:pPr>
      <w:r>
        <w:t xml:space="preserve">Un </w:t>
      </w:r>
      <w:hyperlink r:id="rId136">
        <w:r>
          <w:rPr>
            <w:color w:val="05037E"/>
            <w:u w:val="single" w:color="05037E"/>
          </w:rPr>
          <w:t>projet de plan d'action de l'UE</w:t>
        </w:r>
      </w:hyperlink>
      <w:r w:rsidR="00531DCF">
        <w:t xml:space="preserve"> sur le Nigéria datant de</w:t>
      </w:r>
      <w:r>
        <w:t xml:space="preserve"> septembre 2021 met l'accent sur le retour, la réadmission et la réintégr</w:t>
      </w:r>
      <w:r w:rsidR="00531DCF">
        <w:t>ation, mais l'accent a été</w:t>
      </w:r>
      <w:r>
        <w:t xml:space="preserve"> mis de manière disproportionnée sur la facilitation de l'expu</w:t>
      </w:r>
      <w:r w:rsidR="00531DCF">
        <w:t>lsion plutôt que sur l’assurance</w:t>
      </w:r>
      <w:r>
        <w:t xml:space="preserve"> d'une réintégration complète.</w:t>
      </w:r>
    </w:p>
    <w:p w14:paraId="6E28ACAA" w14:textId="23A5C729" w:rsidR="00D66134" w:rsidRDefault="00B56B8E">
      <w:pPr>
        <w:pStyle w:val="BodyText"/>
        <w:spacing w:before="119" w:line="288" w:lineRule="auto"/>
        <w:ind w:right="147"/>
      </w:pPr>
      <w:r>
        <w:t>Bien que Frontex part</w:t>
      </w:r>
      <w:r w:rsidR="00531DCF">
        <w:t>icipe à des initiatives censées</w:t>
      </w:r>
      <w:r>
        <w:t xml:space="preserve"> so</w:t>
      </w:r>
      <w:r w:rsidR="00531DCF">
        <w:t>utenir les rapatriés, comme</w:t>
      </w:r>
      <w:r>
        <w:t xml:space="preserve"> le </w:t>
      </w:r>
      <w:hyperlink r:id="rId137">
        <w:r>
          <w:rPr>
            <w:color w:val="05037E"/>
            <w:u w:val="single" w:color="05037E"/>
          </w:rPr>
          <w:t xml:space="preserve">programme </w:t>
        </w:r>
      </w:hyperlink>
      <w:hyperlink r:id="rId138">
        <w:r>
          <w:rPr>
            <w:color w:val="05037E"/>
            <w:u w:val="single" w:color="05037E"/>
          </w:rPr>
          <w:t>IRARA (</w:t>
        </w:r>
      </w:hyperlink>
      <w:r>
        <w:t>Integrated Reintegration Assistance for Returnees and Asylum Seekers), les organisations de la société civile (O</w:t>
      </w:r>
      <w:r w:rsidR="00531DCF">
        <w:t>SC) signal</w:t>
      </w:r>
      <w:r>
        <w:t xml:space="preserve">ent </w:t>
      </w:r>
      <w:r w:rsidR="00531DCF">
        <w:t>un écart important entre les promesses et la réalité</w:t>
      </w:r>
      <w:r>
        <w:t xml:space="preserve">. </w:t>
      </w:r>
      <w:r w:rsidR="00962766" w:rsidRPr="00962766">
        <w:t>En pratique, de nombreuses personnes expulsées peinent à se réintégrer dans leur communauté, les poussant souvent à reprendre des routes migratoires en quête de meilleures opportunités à l’étranger.</w:t>
      </w:r>
    </w:p>
    <w:p w14:paraId="2974E81A" w14:textId="77777777" w:rsidR="00D66134" w:rsidRDefault="00B56B8E">
      <w:pPr>
        <w:pStyle w:val="Heading4"/>
        <w:spacing w:before="121"/>
      </w:pPr>
      <w:r>
        <w:rPr>
          <w:spacing w:val="-2"/>
        </w:rPr>
        <w:t xml:space="preserve">Processus </w:t>
      </w:r>
      <w:r>
        <w:t>non transparents</w:t>
      </w:r>
    </w:p>
    <w:p w14:paraId="04F8E81E" w14:textId="54EBA0A1" w:rsidR="00D66134" w:rsidRDefault="00962766">
      <w:pPr>
        <w:pStyle w:val="BodyText"/>
        <w:spacing w:before="170" w:line="288" w:lineRule="auto"/>
        <w:ind w:right="158"/>
      </w:pPr>
      <w:r>
        <w:t>Le système de</w:t>
      </w:r>
      <w:r w:rsidR="00B56B8E">
        <w:t xml:space="preserve"> réintégration dans lequel Frontex opère au Nigeria </w:t>
      </w:r>
      <w:r>
        <w:t xml:space="preserve">signale régulièrement </w:t>
      </w:r>
      <w:r w:rsidR="00B56B8E">
        <w:rPr>
          <w:spacing w:val="-1"/>
        </w:rPr>
        <w:t xml:space="preserve">son </w:t>
      </w:r>
      <w:r w:rsidR="00B56B8E">
        <w:t xml:space="preserve">manque de transparence. De nombreuses personnes expulsées font état </w:t>
      </w:r>
      <w:r>
        <w:t xml:space="preserve">de </w:t>
      </w:r>
      <w:r w:rsidR="00B56B8E">
        <w:t xml:space="preserve">confusion et d'un manque d'informations </w:t>
      </w:r>
      <w:r>
        <w:t xml:space="preserve">sur les </w:t>
      </w:r>
      <w:r w:rsidR="00B56B8E">
        <w:t>procédures qui les concernent. Ce</w:t>
      </w:r>
      <w:r>
        <w:t>tte opacité aggrave leur leurs</w:t>
      </w:r>
      <w:r w:rsidR="00B56B8E">
        <w:t xml:space="preserve"> vulnérabilités, </w:t>
      </w:r>
      <w:r>
        <w:t xml:space="preserve">les laissant </w:t>
      </w:r>
      <w:r w:rsidR="00B56B8E">
        <w:t>s</w:t>
      </w:r>
      <w:r>
        <w:t>ans</w:t>
      </w:r>
      <w:r w:rsidR="00697ECD">
        <w:t xml:space="preserve"> sans soutien ni accompagnement adéquat</w:t>
      </w:r>
      <w:r w:rsidR="00B56B8E">
        <w:t>.</w:t>
      </w:r>
    </w:p>
    <w:p w14:paraId="3B682262" w14:textId="02D3E426" w:rsidR="00962766" w:rsidRPr="00697ECD" w:rsidRDefault="00962766" w:rsidP="00697ECD">
      <w:pPr>
        <w:pStyle w:val="BodyText"/>
        <w:spacing w:before="120" w:line="288" w:lineRule="auto"/>
        <w:ind w:right="214"/>
      </w:pPr>
      <w:r w:rsidRPr="00697ECD">
        <w:t xml:space="preserve">Un membre d'une organisation de la société civile (OSC) a ainsi déclaré aux auteurs de cet </w:t>
      </w:r>
      <w:r w:rsidR="00697ECD" w:rsidRPr="00697ECD">
        <w:t xml:space="preserve">article: </w:t>
      </w:r>
      <w:r w:rsidRPr="00697ECD">
        <w:t xml:space="preserve">« Ils [Frontex/le programme IRARA] ramènent des personnes... qui ont perdu la raison. Quelles sont les dispositions </w:t>
      </w:r>
      <w:r w:rsidR="00697ECD" w:rsidRPr="00697ECD">
        <w:t>prises?</w:t>
      </w:r>
      <w:r w:rsidRPr="00697ECD">
        <w:t xml:space="preserve"> Y a-t-il des dispositions pour la </w:t>
      </w:r>
      <w:r w:rsidR="00697ECD" w:rsidRPr="00697ECD">
        <w:t>récupération?</w:t>
      </w:r>
      <w:r w:rsidRPr="00697ECD">
        <w:t xml:space="preserve"> »</w:t>
      </w:r>
      <w:r w:rsidR="00697ECD" w:rsidRPr="00697ECD">
        <w:t xml:space="preserve">. </w:t>
      </w:r>
      <w:r w:rsidRPr="00697ECD">
        <w:t>Cette dé</w:t>
      </w:r>
      <w:r w:rsidR="00697ECD">
        <w:t>claration met en évidence l'</w:t>
      </w:r>
      <w:r w:rsidRPr="00697ECD">
        <w:t>urgence d'une communication plus claire et de mécanisme de soutien concret pour les personnes renvoyées.</w:t>
      </w:r>
    </w:p>
    <w:p w14:paraId="5E7FC0B6" w14:textId="77777777" w:rsidR="00962766" w:rsidRDefault="00962766">
      <w:pPr>
        <w:pStyle w:val="BodyText"/>
        <w:spacing w:before="120" w:line="288" w:lineRule="auto"/>
        <w:ind w:right="214"/>
      </w:pPr>
    </w:p>
    <w:p w14:paraId="41C717AD" w14:textId="77777777" w:rsidR="00D66134" w:rsidRDefault="00B56B8E">
      <w:pPr>
        <w:pStyle w:val="Heading4"/>
      </w:pPr>
      <w:r>
        <w:t xml:space="preserve">Problèmes de santé et </w:t>
      </w:r>
      <w:r>
        <w:rPr>
          <w:spacing w:val="-2"/>
        </w:rPr>
        <w:t xml:space="preserve">défis </w:t>
      </w:r>
      <w:r>
        <w:t>psychologiques</w:t>
      </w:r>
    </w:p>
    <w:p w14:paraId="0DE413AE" w14:textId="6C8F14D9" w:rsidR="00D66134" w:rsidRDefault="00B56B8E">
      <w:pPr>
        <w:pStyle w:val="BodyText"/>
        <w:spacing w:before="172" w:line="288" w:lineRule="auto"/>
        <w:ind w:right="214"/>
      </w:pPr>
      <w:r>
        <w:t>Malgré l'aide à la réintégration,</w:t>
      </w:r>
      <w:r w:rsidR="0020316C">
        <w:t xml:space="preserve"> les problèmes de santé rest</w:t>
      </w:r>
      <w:r>
        <w:t>ent une préoccupation majeure pour de nombreux migrants nigérians de retour au pays. Des rapports</w:t>
      </w:r>
      <w:r w:rsidR="0020316C">
        <w:t xml:space="preserve"> indiqu</w:t>
      </w:r>
      <w:r>
        <w:t xml:space="preserve">ent que certains migrants </w:t>
      </w:r>
      <w:r w:rsidR="0020316C">
        <w:t>reviennent avec de graves troubles</w:t>
      </w:r>
      <w:r>
        <w:t xml:space="preserve"> ps</w:t>
      </w:r>
      <w:r w:rsidR="0020316C">
        <w:t xml:space="preserve">ychologiques et de santé, après avoir </w:t>
      </w:r>
      <w:r>
        <w:t>subi des traumatismes au cours de leur migration. L'absence de services de santé adéquats et de soutien psychosocial</w:t>
      </w:r>
      <w:r w:rsidR="0020316C">
        <w:t xml:space="preserve"> expose</w:t>
      </w:r>
      <w:r>
        <w:t xml:space="preserve"> les rapatriés à une marginalisation accrue et à des crises de santé mentale.</w:t>
      </w:r>
    </w:p>
    <w:p w14:paraId="78BA8765" w14:textId="69DCAF7B" w:rsidR="0020316C" w:rsidRDefault="0020316C" w:rsidP="0020316C">
      <w:pPr>
        <w:pStyle w:val="BodyText"/>
        <w:spacing w:before="119" w:line="288" w:lineRule="auto"/>
        <w:ind w:right="214"/>
      </w:pPr>
      <w:r w:rsidRPr="0020316C">
        <w:t>Comme l'a souligné un représentant d'une organisation de la société civile (OSC): « Ils [les rapatriés] ont des besoins médicaux et sanitaires. Ils ont besoin de services psychosociaux. Un processus de rétablissement doit être mis en place pour eux. ». Cette déclaration met en évidence l' urgence d'un accès à des services de santé complets, indispensables au rétablissement des rapatriés.</w:t>
      </w:r>
    </w:p>
    <w:p w14:paraId="2FB29682" w14:textId="77777777" w:rsidR="00D66134" w:rsidRDefault="00B56B8E">
      <w:pPr>
        <w:pStyle w:val="Heading4"/>
        <w:spacing w:before="121"/>
      </w:pPr>
      <w:r>
        <w:t xml:space="preserve">L'accent mis sur les objectifs de Frontex en matière de </w:t>
      </w:r>
      <w:r>
        <w:rPr>
          <w:spacing w:val="-2"/>
        </w:rPr>
        <w:t xml:space="preserve">droits </w:t>
      </w:r>
      <w:r>
        <w:t>fondamentaux</w:t>
      </w:r>
    </w:p>
    <w:p w14:paraId="0E380110" w14:textId="68CC535F" w:rsidR="0020316C" w:rsidRPr="004D1611" w:rsidRDefault="004D1611" w:rsidP="004D1611">
      <w:pPr>
        <w:pStyle w:val="BodyText"/>
        <w:spacing w:before="169" w:line="288" w:lineRule="auto"/>
        <w:ind w:right="147"/>
        <w:sectPr w:rsidR="0020316C" w:rsidRPr="004D1611">
          <w:pgSz w:w="11910" w:h="16840"/>
          <w:pgMar w:top="1320" w:right="1275" w:bottom="1960" w:left="1275" w:header="0" w:footer="1766" w:gutter="0"/>
          <w:cols w:space="720"/>
        </w:sectPr>
      </w:pPr>
      <w:r w:rsidRPr="004D1611">
        <w:t>Les organisations de la société civile (OSC) au Nigeria doivent composer avec un environnement complexe, où l'objectif d' augmenter les déportations, soutenu par Frontex, entre souvent en contradiction avec les valeurs affichées par l'UE et ses engagements en matière de droits humains. L' accent mis sur les retours accélérés relègue au second plan les droits fondamentaux des migrants, conduis</w:t>
      </w:r>
      <w:r>
        <w:t xml:space="preserve">ant à </w:t>
      </w:r>
      <w:r w:rsidR="00B56B8E">
        <w:t xml:space="preserve">des </w:t>
      </w:r>
      <w:hyperlink r:id="rId139">
        <w:r w:rsidR="00B56B8E">
          <w:rPr>
            <w:color w:val="05037E"/>
            <w:u w:val="single" w:color="05037E"/>
          </w:rPr>
          <w:t>violations</w:t>
        </w:r>
        <w:r w:rsidR="00B56B8E">
          <w:t>.</w:t>
        </w:r>
      </w:hyperlink>
      <w:r>
        <w:t xml:space="preserve"> </w:t>
      </w:r>
      <w:r w:rsidR="0020316C" w:rsidRPr="004D1611">
        <w:t>Cett</w:t>
      </w:r>
      <w:r w:rsidR="007548A1" w:rsidRPr="004D1611">
        <w:t>e priorité donnée à l'</w:t>
      </w:r>
      <w:r w:rsidR="0020316C" w:rsidRPr="004D1611">
        <w:t>efficacité opérationnelle se fai</w:t>
      </w:r>
      <w:r w:rsidR="007548A1" w:rsidRPr="004D1611">
        <w:t xml:space="preserve">t </w:t>
      </w:r>
      <w:r w:rsidR="0020316C" w:rsidRPr="004D1611">
        <w:t>au détriment des droits humains , moidécalage croiss</w:t>
      </w:r>
      <w:r w:rsidR="007548A1" w:rsidRPr="004D1611">
        <w:t>ant entre discours et pratiques</w:t>
      </w:r>
      <w:r w:rsidR="0020316C" w:rsidRPr="004D1611">
        <w:t>.</w:t>
      </w:r>
    </w:p>
    <w:p w14:paraId="78ABFDCE" w14:textId="3D2064A6" w:rsidR="00D66134" w:rsidRDefault="00B56B8E">
      <w:pPr>
        <w:pStyle w:val="BodyText"/>
        <w:spacing w:before="77" w:line="288" w:lineRule="auto"/>
        <w:ind w:right="214"/>
      </w:pPr>
      <w:r>
        <w:t>Les considérations humanitaires soulèvent des questions éthiques sur le traitement des migra</w:t>
      </w:r>
      <w:r w:rsidR="004D1611">
        <w:t>nts tout au long du processus</w:t>
      </w:r>
      <w:r>
        <w:t xml:space="preserve"> d'expulsion.</w:t>
      </w:r>
    </w:p>
    <w:p w14:paraId="7934D1ED" w14:textId="002F609D" w:rsidR="00D66134" w:rsidRDefault="00B56B8E">
      <w:pPr>
        <w:pStyle w:val="BodyText"/>
        <w:spacing w:before="120"/>
      </w:pPr>
      <w:r>
        <w:t>Comme l'</w:t>
      </w:r>
      <w:r>
        <w:rPr>
          <w:spacing w:val="-2"/>
        </w:rPr>
        <w:t xml:space="preserve">a souligné </w:t>
      </w:r>
      <w:r>
        <w:t xml:space="preserve">un membre d'une </w:t>
      </w:r>
      <w:r w:rsidR="00E027A7">
        <w:t>OSC:</w:t>
      </w:r>
    </w:p>
    <w:p w14:paraId="1FF12E5F" w14:textId="5A94AD85" w:rsidR="004D1611" w:rsidRPr="004D1611" w:rsidRDefault="004D1611" w:rsidP="004D1611">
      <w:pPr>
        <w:spacing w:before="172" w:line="288" w:lineRule="auto"/>
        <w:ind w:left="848" w:right="191"/>
        <w:rPr>
          <w:i/>
        </w:rPr>
      </w:pPr>
      <w:r w:rsidRPr="004D1611">
        <w:rPr>
          <w:i/>
        </w:rPr>
        <w:t xml:space="preserve">« Les personnes qu'elles ramènent ne reçoivent pas un accompagnement adéquat. Ils rapatrient des individus qui ont été emprisonnés... Certains reviennent drogués, d'autres ont perdu la raison. Quelles sont les dispositions </w:t>
      </w:r>
      <w:r w:rsidR="00E027A7" w:rsidRPr="004D1611">
        <w:rPr>
          <w:i/>
        </w:rPr>
        <w:t>prises?</w:t>
      </w:r>
      <w:r w:rsidRPr="004D1611">
        <w:rPr>
          <w:i/>
        </w:rPr>
        <w:t xml:space="preserve"> Existe-t-il un programme de rétablissement, ou ces personnes sont-elles simplement renvoyées pour </w:t>
      </w:r>
      <w:r w:rsidR="00E027A7" w:rsidRPr="004D1611">
        <w:rPr>
          <w:i/>
        </w:rPr>
        <w:t>mourir?</w:t>
      </w:r>
      <w:r w:rsidRPr="004D1611">
        <w:rPr>
          <w:i/>
        </w:rPr>
        <w:t xml:space="preserve"> Quel que soit le soutien proposé, il ne sera pas durable... Certains ne le perçoivent même pas comme une aide, car ils ne savent pas quoi en faire. Leur esprit est déjà brisé. C'est ce qui m'inquiète dans ce programme de retour géré par IRARA et Frontex. »</w:t>
      </w:r>
    </w:p>
    <w:p w14:paraId="6E836AB7" w14:textId="1CC9AF5A" w:rsidR="004D1611" w:rsidRDefault="004D1611" w:rsidP="00E027A7">
      <w:pPr>
        <w:spacing w:before="172" w:line="288" w:lineRule="auto"/>
        <w:ind w:right="191"/>
        <w:rPr>
          <w:i/>
        </w:rPr>
      </w:pPr>
    </w:p>
    <w:p w14:paraId="45BC783D" w14:textId="77777777" w:rsidR="00D66134" w:rsidRDefault="00B56B8E">
      <w:pPr>
        <w:pStyle w:val="Heading3"/>
      </w:pPr>
      <w:r>
        <w:rPr>
          <w:spacing w:val="-2"/>
        </w:rPr>
        <w:t>Conclusion</w:t>
      </w:r>
    </w:p>
    <w:p w14:paraId="61E8FB1B" w14:textId="7EF5B7D2" w:rsidR="005949E7" w:rsidRDefault="005949E7">
      <w:pPr>
        <w:pStyle w:val="BodyText"/>
        <w:spacing w:before="170" w:line="288" w:lineRule="auto"/>
      </w:pPr>
      <w:r w:rsidRPr="005949E7">
        <w:t>Les réformes juridiques récentes au sein de l' UE visent à renforcer et à étendre l'implication de Frontex dans l' expulsion et la réintégration. Ce discours met en avant la capacité de Frontex à harmoniser et standardiser les approches à travers l'UE et ses États membres, mais ces évolutions ont des conséquences préoccupantes en Afrique de l’Ouest.</w:t>
      </w:r>
    </w:p>
    <w:p w14:paraId="23AC4B89" w14:textId="165F3EE2" w:rsidR="00D66134" w:rsidRDefault="005949E7">
      <w:pPr>
        <w:pStyle w:val="BodyText"/>
        <w:spacing w:before="120" w:line="288" w:lineRule="auto"/>
        <w:ind w:left="141" w:right="214"/>
      </w:pPr>
      <w:r w:rsidRPr="005949E7">
        <w:t>En Gambie, Frontex est venu s'ajouter à un partenariat existant entre Caritas Belgique et Caritas Gambie, complexifiant encore davantage un système d'aide déjà difficile à naviguer pour les rapatriés.</w:t>
      </w:r>
    </w:p>
    <w:p w14:paraId="22815F9B" w14:textId="0AE8A6DF" w:rsidR="005949E7" w:rsidRPr="00917BDC" w:rsidRDefault="00917BDC" w:rsidP="00917BDC">
      <w:pPr>
        <w:pStyle w:val="BodyText"/>
        <w:spacing w:before="120" w:line="288" w:lineRule="auto"/>
        <w:ind w:left="141" w:right="214"/>
      </w:pPr>
      <w:r w:rsidRPr="00917BDC">
        <w:t>L'accent mis par Frontex sur les outils numériques et la collecte de données risque d' accentuer la logique sécuritaire autour du retour et de la réintégration. De plus, l' augmentation des ressources de l'agence dans ce domaine renforcera encore les déséquilibres de pouvoir, au détriment des organisations locales qui tentent d'échapper à l' instrumentalisation et à l’exploitation.</w:t>
      </w:r>
    </w:p>
    <w:p w14:paraId="34E41ED2" w14:textId="77777777" w:rsidR="005949E7" w:rsidRPr="005949E7" w:rsidRDefault="005949E7" w:rsidP="005949E7">
      <w:pPr>
        <w:pStyle w:val="BodyText"/>
        <w:spacing w:line="288" w:lineRule="auto"/>
        <w:rPr>
          <w:highlight w:val="yellow"/>
        </w:rPr>
      </w:pPr>
    </w:p>
    <w:p w14:paraId="2E7F2E64" w14:textId="619D7C4B" w:rsidR="005949E7" w:rsidRDefault="005949E7" w:rsidP="005949E7">
      <w:pPr>
        <w:pStyle w:val="BodyText"/>
        <w:spacing w:line="288" w:lineRule="auto"/>
      </w:pPr>
      <w:r w:rsidRPr="00917BDC">
        <w:t xml:space="preserve">Au </w:t>
      </w:r>
      <w:r w:rsidR="00917BDC" w:rsidRPr="00917BDC">
        <w:t>Nigeria,</w:t>
      </w:r>
      <w:r w:rsidRPr="00917BDC">
        <w:t xml:space="preserve"> la priorité accordée par Frontex au contrôle des frontières et des migrations affaiblit la capacité du pays à protéger les droits de ses citoyens contraints à </w:t>
      </w:r>
      <w:r w:rsidR="00917BDC" w:rsidRPr="00917BDC">
        <w:t>l’exil.</w:t>
      </w:r>
      <w:r w:rsidRPr="00917BDC">
        <w:t xml:space="preserve"> Par ailleurs, les organisations de la société civile et les rapatriés dénoncent le manque de transparence et l' insuffisance du soutien apporté par Frontex à la </w:t>
      </w:r>
      <w:r w:rsidR="00917BDC" w:rsidRPr="00917BDC">
        <w:t>réintégration,</w:t>
      </w:r>
      <w:r w:rsidRPr="00917BDC">
        <w:t xml:space="preserve"> avec des répercussions négatives sur la santé mentale des rapatriés et de leurs communautés.</w:t>
      </w:r>
    </w:p>
    <w:p w14:paraId="60236C79" w14:textId="77777777" w:rsidR="005949E7" w:rsidRDefault="005949E7" w:rsidP="005949E7">
      <w:pPr>
        <w:pStyle w:val="BodyText"/>
        <w:spacing w:line="288" w:lineRule="auto"/>
      </w:pPr>
    </w:p>
    <w:p w14:paraId="4A0535FF" w14:textId="77777777" w:rsidR="005949E7" w:rsidRDefault="005949E7" w:rsidP="005949E7">
      <w:pPr>
        <w:pStyle w:val="BodyText"/>
        <w:spacing w:line="288" w:lineRule="auto"/>
      </w:pPr>
    </w:p>
    <w:p w14:paraId="44F561E3" w14:textId="77777777" w:rsidR="005949E7" w:rsidRDefault="005949E7" w:rsidP="005949E7">
      <w:pPr>
        <w:pStyle w:val="BodyText"/>
        <w:spacing w:line="288" w:lineRule="auto"/>
      </w:pPr>
    </w:p>
    <w:p w14:paraId="14B90AAC" w14:textId="77777777" w:rsidR="005949E7" w:rsidRDefault="005949E7" w:rsidP="005949E7">
      <w:pPr>
        <w:pStyle w:val="BodyText"/>
        <w:spacing w:line="288" w:lineRule="auto"/>
      </w:pPr>
    </w:p>
    <w:p w14:paraId="19DB2DB9" w14:textId="77777777" w:rsidR="005949E7" w:rsidRDefault="005949E7" w:rsidP="005949E7">
      <w:pPr>
        <w:pStyle w:val="BodyText"/>
        <w:spacing w:line="288" w:lineRule="auto"/>
      </w:pPr>
    </w:p>
    <w:p w14:paraId="0875BF64" w14:textId="77777777" w:rsidR="005949E7" w:rsidRDefault="005949E7" w:rsidP="005949E7">
      <w:pPr>
        <w:pStyle w:val="BodyText"/>
        <w:spacing w:line="288" w:lineRule="auto"/>
      </w:pPr>
    </w:p>
    <w:p w14:paraId="54444D2A" w14:textId="77777777" w:rsidR="005949E7" w:rsidRDefault="005949E7" w:rsidP="005949E7">
      <w:pPr>
        <w:pStyle w:val="BodyText"/>
        <w:spacing w:line="288" w:lineRule="auto"/>
        <w:ind w:left="0"/>
        <w:sectPr w:rsidR="005949E7">
          <w:pgSz w:w="11910" w:h="16840"/>
          <w:pgMar w:top="1320" w:right="1275" w:bottom="1960" w:left="1275" w:header="0" w:footer="1766" w:gutter="0"/>
          <w:cols w:space="720"/>
        </w:sectPr>
      </w:pPr>
    </w:p>
    <w:p w14:paraId="59117BAA" w14:textId="02B985F7" w:rsidR="00A5729C" w:rsidRDefault="00A5729C" w:rsidP="00F023A2">
      <w:pPr>
        <w:pStyle w:val="Heading1"/>
        <w:spacing w:before="79" w:line="285" w:lineRule="auto"/>
      </w:pPr>
      <w:bookmarkStart w:id="16" w:name="Deportations:_when_“assertiveness”_and_“"/>
      <w:bookmarkStart w:id="17" w:name="_bookmark8"/>
      <w:bookmarkEnd w:id="16"/>
      <w:bookmarkEnd w:id="17"/>
      <w:r>
        <w:t>Expulsions:</w:t>
      </w:r>
      <w:r w:rsidR="00B56B8E">
        <w:t xml:space="preserve"> </w:t>
      </w:r>
      <w:r w:rsidRPr="00A5729C">
        <w:t>quand l'« affirmation de soi » et l'« efficacité » riment avec violence et abus</w:t>
      </w:r>
    </w:p>
    <w:p w14:paraId="2254FA0C" w14:textId="77777777" w:rsidR="00F023A2" w:rsidRPr="00F023A2" w:rsidRDefault="00F023A2" w:rsidP="00F023A2">
      <w:pPr>
        <w:pStyle w:val="Heading1"/>
        <w:spacing w:before="79" w:line="285" w:lineRule="auto"/>
      </w:pPr>
    </w:p>
    <w:p w14:paraId="503FF725" w14:textId="3A18750F" w:rsidR="00A5729C" w:rsidRDefault="00A5729C" w:rsidP="00F023A2">
      <w:pPr>
        <w:spacing w:line="288" w:lineRule="auto"/>
        <w:ind w:left="140"/>
        <w:rPr>
          <w:i/>
        </w:rPr>
      </w:pPr>
      <w:r w:rsidRPr="00A5729C">
        <w:rPr>
          <w:i/>
        </w:rPr>
        <w:t>L' augmentation des expulsions de l'UE est un objectif politique de longue date. En 2025, une nouvelle loi sur l' « expulsion » devrait être proposée pour remplacer la</w:t>
      </w:r>
      <w:r>
        <w:rPr>
          <w:i/>
        </w:rPr>
        <w:t xml:space="preserve"> directive « retour » de 2008. </w:t>
      </w:r>
      <w:r w:rsidRPr="00A5729C">
        <w:rPr>
          <w:i/>
        </w:rPr>
        <w:t>Les documents publiés avec ce bulletin offrent un aperçu des éléments susceptibles d'être inclus dans cette réforme. Les conséquences pour les personnes menacées d'expulsion pourraient être préoccupantes:</w:t>
      </w:r>
      <w:r>
        <w:rPr>
          <w:i/>
        </w:rPr>
        <w:t xml:space="preserve"> r</w:t>
      </w:r>
      <w:r w:rsidRPr="00A5729C">
        <w:rPr>
          <w:i/>
        </w:rPr>
        <w:t>éduction</w:t>
      </w:r>
      <w:r>
        <w:rPr>
          <w:i/>
        </w:rPr>
        <w:t xml:space="preserve"> des « garanties juridiques », r</w:t>
      </w:r>
      <w:r w:rsidRPr="00A5729C">
        <w:rPr>
          <w:i/>
        </w:rPr>
        <w:t xml:space="preserve">enforcement des </w:t>
      </w:r>
      <w:r w:rsidR="00F023A2">
        <w:rPr>
          <w:i/>
        </w:rPr>
        <w:t>« obligations » et recours accrue</w:t>
      </w:r>
      <w:r w:rsidRPr="00A5729C">
        <w:rPr>
          <w:i/>
        </w:rPr>
        <w:t xml:space="preserve"> à la « coercition </w:t>
      </w:r>
      <w:r w:rsidR="00F023A2" w:rsidRPr="00A5729C">
        <w:rPr>
          <w:i/>
        </w:rPr>
        <w:t>»,</w:t>
      </w:r>
      <w:r w:rsidR="00F023A2">
        <w:rPr>
          <w:i/>
        </w:rPr>
        <w:t xml:space="preserve"> n</w:t>
      </w:r>
      <w:r w:rsidRPr="00A5729C">
        <w:rPr>
          <w:i/>
        </w:rPr>
        <w:t xml:space="preserve">ouveaux mécanismes facilitant les « expulsions » vers des pays jugés </w:t>
      </w:r>
      <w:r w:rsidR="00F023A2" w:rsidRPr="00A5729C">
        <w:rPr>
          <w:i/>
        </w:rPr>
        <w:t>dangereux.</w:t>
      </w:r>
    </w:p>
    <w:p w14:paraId="12733E70" w14:textId="77777777" w:rsidR="00A5729C" w:rsidRDefault="00A5729C">
      <w:pPr>
        <w:spacing w:line="288" w:lineRule="auto"/>
        <w:ind w:left="140"/>
        <w:rPr>
          <w:i/>
        </w:rPr>
      </w:pPr>
    </w:p>
    <w:p w14:paraId="7B12D3F4" w14:textId="4F825D32" w:rsidR="00D66134" w:rsidRDefault="00F023A2">
      <w:pPr>
        <w:pStyle w:val="Heading3"/>
      </w:pPr>
      <w:r>
        <w:t>Plus,</w:t>
      </w:r>
      <w:r w:rsidR="00A5729C">
        <w:t xml:space="preserve"> </w:t>
      </w:r>
      <w:r w:rsidR="00B56B8E">
        <w:t xml:space="preserve">de </w:t>
      </w:r>
      <w:r w:rsidR="00B56B8E">
        <w:rPr>
          <w:spacing w:val="-2"/>
        </w:rPr>
        <w:t>déportations</w:t>
      </w:r>
    </w:p>
    <w:p w14:paraId="5A8E277A" w14:textId="77777777" w:rsidR="00D13ACA" w:rsidRDefault="00D13ACA" w:rsidP="00D13ACA">
      <w:pPr>
        <w:pStyle w:val="BodyText"/>
        <w:spacing w:before="119" w:line="288" w:lineRule="auto"/>
        <w:ind w:right="214"/>
      </w:pPr>
      <w:r w:rsidRPr="00D13ACA">
        <w:t xml:space="preserve">L' amelioration de la coopération et de la coordination de l'UE en matière d' expulsions est un objectif politique poursuivi depuis les années 1990, avec pour but ultime d' augmenter le nombre de personnes expulsées de l'UE. </w:t>
      </w:r>
    </w:p>
    <w:p w14:paraId="08C6624D" w14:textId="77777777" w:rsidR="00D13ACA" w:rsidRDefault="00D13ACA" w:rsidP="00D13ACA">
      <w:pPr>
        <w:pStyle w:val="BodyText"/>
        <w:spacing w:before="119" w:line="288" w:lineRule="auto"/>
        <w:ind w:right="214"/>
      </w:pPr>
      <w:r w:rsidRPr="00D13ACA">
        <w:t xml:space="preserve">Au cours des cinq dernières années, plusieurs réformes ont été mises en place pour atteindre cet objectif, notamment l' extension des pouvoirs de Frontex, la création d'un poste de « coordinateur des retours » au sein de la Commission européenne, et la surveillance de la coopération des États non membres de l'UE en matière d'expulsions. </w:t>
      </w:r>
    </w:p>
    <w:p w14:paraId="771BFE4D" w14:textId="3726BF1F" w:rsidR="00F023A2" w:rsidRDefault="00D13ACA" w:rsidP="00D13ACA">
      <w:pPr>
        <w:pStyle w:val="BodyText"/>
        <w:spacing w:before="119" w:line="288" w:lineRule="auto"/>
        <w:ind w:right="214"/>
      </w:pPr>
      <w:r w:rsidRPr="00D13ACA">
        <w:t>Le non-respect de ces exigences peut entraîner des « sanctions en matière de visa ».</w:t>
      </w:r>
      <w:r>
        <w:t xml:space="preserve"> Par ailleurs, le</w:t>
      </w:r>
      <w:r w:rsidR="00B56B8E">
        <w:t xml:space="preserve"> MOCADEM </w:t>
      </w:r>
      <w:hyperlink r:id="rId140" w:anchor="mocadem20230922">
        <w:r w:rsidR="00B56B8E">
          <w:rPr>
            <w:color w:val="05037E"/>
            <w:u w:val="single" w:color="05037E"/>
          </w:rPr>
          <w:t>examine régulièrement les</w:t>
        </w:r>
      </w:hyperlink>
      <w:r w:rsidR="00B56B8E">
        <w:t xml:space="preserve"> politiques d'expulsion des États</w:t>
      </w:r>
      <w:r>
        <w:t xml:space="preserve"> tiers, renforçant ainsi la pression exercée sur ces pays.</w:t>
      </w:r>
      <w:r w:rsidR="00B56B8E">
        <w:t xml:space="preserve"> </w:t>
      </w:r>
    </w:p>
    <w:p w14:paraId="00B5AFDD" w14:textId="77777777" w:rsidR="00F023A2" w:rsidRDefault="00F023A2" w:rsidP="00D13ACA">
      <w:pPr>
        <w:pStyle w:val="BodyText"/>
        <w:spacing w:before="119" w:line="288" w:lineRule="auto"/>
        <w:ind w:left="0" w:right="214"/>
      </w:pPr>
    </w:p>
    <w:p w14:paraId="1AD92533" w14:textId="49D8A4F3" w:rsidR="00D13ACA" w:rsidRDefault="00D13ACA">
      <w:pPr>
        <w:pStyle w:val="BodyText"/>
        <w:spacing w:before="120" w:line="288" w:lineRule="auto"/>
        <w:ind w:right="153"/>
      </w:pPr>
      <w:r>
        <w:t>Plus</w:t>
      </w:r>
      <w:r w:rsidRPr="00D13ACA">
        <w:t xml:space="preserve"> récemment, la question des « hubs de retour » – qu'il serait plus juste d'appeler des camps d'expulsion – a été mise à l'ordre du jour. Ces propositions, actuellement débattues au sein de la bulle bruxelloise, viennent s'ajouter à une série d'autres mesures révélées dans les documents publiés avec ce bulletin. Certaines de ces propositions pourraient bien être intégrées dans une nouvelle législation visant à remplacer la directive « retour » de </w:t>
      </w:r>
      <w:r w:rsidR="00541D28" w:rsidRPr="00D13ACA">
        <w:t>2008.</w:t>
      </w:r>
    </w:p>
    <w:p w14:paraId="674F07C9" w14:textId="77777777" w:rsidR="00D13ACA" w:rsidRDefault="00D13ACA">
      <w:pPr>
        <w:pStyle w:val="BodyText"/>
        <w:spacing w:before="120" w:line="288" w:lineRule="auto"/>
        <w:ind w:right="153"/>
      </w:pPr>
    </w:p>
    <w:p w14:paraId="1E7B4290" w14:textId="456D9662" w:rsidR="00541D28" w:rsidRDefault="00541D28" w:rsidP="00541D28">
      <w:pPr>
        <w:pStyle w:val="BodyText"/>
        <w:spacing w:before="121" w:line="288" w:lineRule="auto"/>
        <w:ind w:right="153"/>
      </w:pPr>
      <w:r w:rsidRPr="00541D28">
        <w:t>Alors que la Commission européenne a publié une proposition de révision de la directive « retour » en 2018, les négociations se sont enlisées, poussant la Commission et le Conseil à s'engager dans la rédaction d'un nouveau texte. La présidente de la Commission, Ursula von der Leyen</w:t>
      </w:r>
      <w:r w:rsidR="00B56B8E">
        <w:t xml:space="preserve">, </w:t>
      </w:r>
      <w:hyperlink r:id="rId141">
        <w:r w:rsidR="00B56B8E">
          <w:rPr>
            <w:color w:val="05037E"/>
            <w:u w:val="single" w:color="05037E"/>
          </w:rPr>
          <w:t>a déclaré que</w:t>
        </w:r>
      </w:hyperlink>
      <w:r w:rsidR="00B56B8E">
        <w:t xml:space="preserve"> cette </w:t>
      </w:r>
      <w:r w:rsidRPr="00541D28">
        <w:t>proposition sera « l'une des tâches immédiates du commissaire aux affaires intérieures et à la migration ».</w:t>
      </w:r>
    </w:p>
    <w:p w14:paraId="7A5A6346" w14:textId="78BB84BD" w:rsidR="00541D28" w:rsidRDefault="0045027D" w:rsidP="0045027D">
      <w:pPr>
        <w:pStyle w:val="BodyText"/>
        <w:spacing w:before="120" w:line="288" w:lineRule="auto"/>
        <w:ind w:right="147"/>
      </w:pPr>
      <w:r>
        <w:t>Malgré des années d’échec, l' UE semble déterminée à durcir ses politiques d’expulsion, au risque de causer davantage de préjudices à un plus grand nombre de personnes. Pourtant, les documents politiques ne précisent pas ces effets négatifs sur les individus. Au contraire, les récents documents du Conseil ont appelé à des « mesures visant à mettre en place un système de retour efficace » (13 juillet), fondées sur « une politique de retour plus affirmée » (9 septembre), censée améliorer « l'efficacité » (13 septembre).</w:t>
      </w:r>
    </w:p>
    <w:p w14:paraId="5AEB631F" w14:textId="03276065" w:rsidR="00D66134" w:rsidRDefault="00541D28">
      <w:pPr>
        <w:pStyle w:val="Heading3"/>
        <w:spacing w:before="121"/>
        <w:ind w:left="141"/>
      </w:pPr>
      <w:r>
        <w:t>Expulsions:</w:t>
      </w:r>
      <w:r w:rsidR="00B56B8E">
        <w:t xml:space="preserve"> </w:t>
      </w:r>
      <w:r w:rsidR="007205A7" w:rsidRPr="007205A7">
        <w:t>« une priorité absolue »</w:t>
      </w:r>
    </w:p>
    <w:p w14:paraId="134694E6" w14:textId="44464101" w:rsidR="00D66134" w:rsidRDefault="00B56B8E">
      <w:pPr>
        <w:pStyle w:val="BodyText"/>
        <w:spacing w:before="169" w:line="288" w:lineRule="auto"/>
        <w:ind w:right="190"/>
      </w:pPr>
      <w:r>
        <w:t xml:space="preserve">La présidence hongroise a pris ses fonctions le 1er juillet et, un peu plus de deux semaines plus tard, un </w:t>
      </w:r>
      <w:hyperlink r:id="rId142">
        <w:r>
          <w:rPr>
            <w:color w:val="05037E"/>
            <w:u w:val="single" w:color="05037E"/>
          </w:rPr>
          <w:t>document</w:t>
        </w:r>
      </w:hyperlink>
      <w:r>
        <w:t xml:space="preserve"> destiné à une réunion du groupe de travail du Conseil sur l'intégration, la migration et l'expulsion (IMEX) s'est penché sur les</w:t>
      </w:r>
      <w:r w:rsidR="007205A7">
        <w:t xml:space="preserve"> </w:t>
      </w:r>
      <w:r w:rsidR="007205A7" w:rsidRPr="007205A7">
        <w:t>« mesures à prendre pour assurer le bon fonc</w:t>
      </w:r>
      <w:r w:rsidR="007205A7">
        <w:t xml:space="preserve">tionnement du système de retour </w:t>
      </w:r>
      <w:r w:rsidR="007205A7" w:rsidRPr="007205A7">
        <w:t>»</w:t>
      </w:r>
      <w:r>
        <w:t xml:space="preserve">. </w:t>
      </w:r>
      <w:r w:rsidR="00E71517" w:rsidRPr="00E71517">
        <w:t>L'objectif de la présidence hongroise est que les discussions au sein d’IMEX adoptent une approche plus opérationnelle.</w:t>
      </w:r>
    </w:p>
    <w:p w14:paraId="1145AA91" w14:textId="0F0DA385" w:rsidR="007205A7" w:rsidRPr="007205A7" w:rsidRDefault="007205A7" w:rsidP="007205A7">
      <w:pPr>
        <w:pStyle w:val="BodyText"/>
        <w:spacing w:before="77" w:line="288" w:lineRule="auto"/>
        <w:ind w:right="214"/>
        <w:rPr>
          <w:lang w:val="fr-FR"/>
        </w:rPr>
      </w:pPr>
      <w:r w:rsidRPr="00CF6F3C">
        <w:rPr>
          <w:lang w:val="fr-FR"/>
        </w:rPr>
        <w:t xml:space="preserve">Le </w:t>
      </w:r>
      <w:r w:rsidRPr="00CF6F3C">
        <w:rPr>
          <w:bCs/>
          <w:lang w:val="fr-FR"/>
        </w:rPr>
        <w:t>document du 18 juillet</w:t>
      </w:r>
      <w:r w:rsidRPr="00CF6F3C">
        <w:rPr>
          <w:lang w:val="fr-FR"/>
        </w:rPr>
        <w:t xml:space="preserve"> affirme que l’expulsion</w:t>
      </w:r>
      <w:r w:rsidRPr="00CF6F3C">
        <w:rPr>
          <w:bCs/>
          <w:lang w:val="fr-FR"/>
        </w:rPr>
        <w:t xml:space="preserve"> (« retour »)</w:t>
      </w:r>
      <w:r w:rsidRPr="00CF6F3C">
        <w:rPr>
          <w:lang w:val="fr-FR"/>
        </w:rPr>
        <w:t xml:space="preserve"> est </w:t>
      </w:r>
      <w:r w:rsidRPr="00CF6F3C">
        <w:rPr>
          <w:bCs/>
          <w:lang w:val="fr-FR"/>
        </w:rPr>
        <w:t>« une priorité absolue »</w:t>
      </w:r>
      <w:r w:rsidRPr="00CF6F3C">
        <w:rPr>
          <w:lang w:val="fr-FR"/>
        </w:rPr>
        <w:t xml:space="preserve">, intégrée aux </w:t>
      </w:r>
      <w:r w:rsidRPr="00CF6F3C">
        <w:rPr>
          <w:bCs/>
          <w:lang w:val="fr-FR"/>
        </w:rPr>
        <w:t>cycles Schengen</w:t>
      </w:r>
      <w:r w:rsidRPr="00CF6F3C">
        <w:rPr>
          <w:lang w:val="fr-FR"/>
        </w:rPr>
        <w:t xml:space="preserve">, y compris le cycle </w:t>
      </w:r>
      <w:r w:rsidRPr="00CF6F3C">
        <w:rPr>
          <w:bCs/>
          <w:lang w:val="fr-FR"/>
        </w:rPr>
        <w:t>2024-2025</w:t>
      </w:r>
      <w:r w:rsidRPr="00CF6F3C">
        <w:rPr>
          <w:lang w:val="fr-FR"/>
        </w:rPr>
        <w:t xml:space="preserve">. Le </w:t>
      </w:r>
      <w:r w:rsidRPr="00CF6F3C">
        <w:rPr>
          <w:bCs/>
          <w:lang w:val="fr-FR"/>
        </w:rPr>
        <w:t>« cycle Schengen »</w:t>
      </w:r>
      <w:r w:rsidRPr="00CF6F3C">
        <w:rPr>
          <w:lang w:val="fr-FR"/>
        </w:rPr>
        <w:t xml:space="preserve"> définit le </w:t>
      </w:r>
      <w:r w:rsidRPr="00CF6F3C">
        <w:rPr>
          <w:bCs/>
          <w:lang w:val="fr-FR"/>
        </w:rPr>
        <w:t>processus d'évaluation</w:t>
      </w:r>
      <w:r w:rsidRPr="00CF6F3C">
        <w:rPr>
          <w:lang w:val="fr-FR"/>
        </w:rPr>
        <w:t xml:space="preserve"> du respect par les </w:t>
      </w:r>
      <w:r w:rsidRPr="00CF6F3C">
        <w:rPr>
          <w:bCs/>
          <w:lang w:val="fr-FR"/>
        </w:rPr>
        <w:t>États membres</w:t>
      </w:r>
      <w:r w:rsidRPr="00CF6F3C">
        <w:rPr>
          <w:lang w:val="fr-FR"/>
        </w:rPr>
        <w:t xml:space="preserve"> des lois et politiques relatives à l’espace</w:t>
      </w:r>
      <w:r w:rsidRPr="00CF6F3C">
        <w:rPr>
          <w:bCs/>
          <w:lang w:val="fr-FR"/>
        </w:rPr>
        <w:t xml:space="preserve"> Schengen</w:t>
      </w:r>
      <w:r w:rsidRPr="00CF6F3C">
        <w:rPr>
          <w:lang w:val="fr-FR"/>
        </w:rPr>
        <w:t>.</w:t>
      </w:r>
    </w:p>
    <w:p w14:paraId="098F59BC" w14:textId="77777777" w:rsidR="007205A7" w:rsidRDefault="007205A7">
      <w:pPr>
        <w:pStyle w:val="BodyText"/>
        <w:spacing w:before="77" w:line="288" w:lineRule="auto"/>
        <w:ind w:right="214"/>
      </w:pPr>
    </w:p>
    <w:p w14:paraId="23829CDD" w14:textId="27011120" w:rsidR="00CF6F3C" w:rsidRDefault="00CF6F3C">
      <w:pPr>
        <w:pStyle w:val="BodyText"/>
        <w:spacing w:before="120" w:line="288" w:lineRule="auto"/>
        <w:ind w:right="165"/>
      </w:pPr>
      <w:r w:rsidRPr="00CF6F3C">
        <w:t>Le document met également en avant la nécessité d'une « synergie appropriée » entre « l'obligation de coopération avec les autorités » et « la garantie des droits fondamentaux des personnes ». Il évite que sans cet équilibre, « l'application de la législation est compromise », avec un risque d' « impact sur nos ambitions en matière de dimension extérieure et sur la coopération avec les pays tiers ».</w:t>
      </w:r>
    </w:p>
    <w:p w14:paraId="2C226207" w14:textId="77777777" w:rsidR="00CF6F3C" w:rsidRDefault="00CF6F3C">
      <w:pPr>
        <w:pStyle w:val="BodyText"/>
        <w:spacing w:before="120" w:line="288" w:lineRule="auto"/>
        <w:ind w:right="165"/>
      </w:pPr>
    </w:p>
    <w:p w14:paraId="102BCDA0" w14:textId="4FA6F74D" w:rsidR="00D66134" w:rsidRDefault="002E556E">
      <w:pPr>
        <w:pStyle w:val="BodyText"/>
        <w:spacing w:before="120" w:line="288" w:lineRule="auto"/>
        <w:ind w:right="214" w:hanging="1"/>
      </w:pPr>
      <w:r>
        <w:t>Le document mentionne également le</w:t>
      </w:r>
      <w:r w:rsidR="00B56B8E">
        <w:t xml:space="preserve"> </w:t>
      </w:r>
      <w:hyperlink r:id="rId143">
        <w:r w:rsidR="00B56B8E">
          <w:rPr>
            <w:color w:val="05037E"/>
            <w:u w:val="single" w:color="05037E"/>
          </w:rPr>
          <w:t>règlement</w:t>
        </w:r>
      </w:hyperlink>
      <w:r w:rsidR="00B56B8E">
        <w:t xml:space="preserve"> récemment adopté </w:t>
      </w:r>
      <w:hyperlink r:id="rId144">
        <w:r w:rsidR="00B56B8E">
          <w:rPr>
            <w:color w:val="05037E"/>
            <w:u w:val="single" w:color="05037E"/>
          </w:rPr>
          <w:t>sur la procédure de retour aux frontières</w:t>
        </w:r>
      </w:hyperlink>
      <w:r w:rsidR="00B56B8E">
        <w:t xml:space="preserve">. </w:t>
      </w:r>
      <w:r>
        <w:t xml:space="preserve">, qui introduit de nouvelles accélérées pour expulser les personnes refuses à l’entrée des frontières. </w:t>
      </w:r>
      <w:r w:rsidR="00B56B8E">
        <w:t>Ce règlement</w:t>
      </w:r>
      <w:r>
        <w:t xml:space="preserve"> facilite également l'expulsion</w:t>
      </w:r>
      <w:r w:rsidR="00B56B8E">
        <w:t xml:space="preserve"> rapide</w:t>
      </w:r>
      <w:r>
        <w:t>ment des individus</w:t>
      </w:r>
      <w:r w:rsidR="00B56B8E">
        <w:t xml:space="preserve"> considérées comme </w:t>
      </w:r>
      <w:r>
        <w:t>une menace pour la sécurité, un sujet largement discuté lors de la reunions des groupes</w:t>
      </w:r>
      <w:r w:rsidR="00B56B8E">
        <w:t xml:space="preserve"> de travail du Conseil au cours des derniers mois.</w:t>
      </w:r>
    </w:p>
    <w:p w14:paraId="487D228E" w14:textId="2C874C1D" w:rsidR="00027645" w:rsidRDefault="00027645" w:rsidP="00F51BF9">
      <w:pPr>
        <w:pStyle w:val="BodyText"/>
        <w:spacing w:before="121" w:line="288" w:lineRule="auto"/>
        <w:ind w:left="141" w:right="214" w:hanging="1"/>
      </w:pPr>
      <w:r>
        <w:t>Le document de juillet de la présidence souligne que la position du Conseil sur la proposition de 2018 relative à une directive révisée sur les retours aurait permis de faciliter la détention des personnes considérées comme une menace pour la sécurité et de leur refuser un délai pour un départ volontaire. D'autres mesures pourraient suivre, le document évoquant « la possibilité d'autres dérogations qui pourraient contribuer à un retour plus efficace de ces ressortissants de pays tiers ».</w:t>
      </w:r>
    </w:p>
    <w:p w14:paraId="56B54C90" w14:textId="159625F5" w:rsidR="00027645" w:rsidRPr="00F51BF9" w:rsidRDefault="00027645" w:rsidP="00F51BF9">
      <w:pPr>
        <w:pStyle w:val="BodyText"/>
        <w:spacing w:before="121" w:line="288" w:lineRule="auto"/>
        <w:ind w:right="147"/>
        <w:rPr>
          <w:lang w:val="fr-FR"/>
        </w:rPr>
      </w:pPr>
      <w:r w:rsidRPr="00027645">
        <w:rPr>
          <w:lang w:val="fr-FR"/>
        </w:rPr>
        <w:t xml:space="preserve">Le document met également en avant une </w:t>
      </w:r>
      <w:r w:rsidRPr="00027645">
        <w:rPr>
          <w:bCs/>
          <w:lang w:val="fr-FR"/>
        </w:rPr>
        <w:t>nouvelle obligation légale</w:t>
      </w:r>
      <w:r w:rsidRPr="00027645">
        <w:rPr>
          <w:lang w:val="fr-FR"/>
        </w:rPr>
        <w:t xml:space="preserve"> d’enregistrer</w:t>
      </w:r>
      <w:r w:rsidRPr="00027645">
        <w:rPr>
          <w:bCs/>
          <w:lang w:val="fr-FR"/>
        </w:rPr>
        <w:t xml:space="preserve"> les ordres d'expulsion</w:t>
      </w:r>
      <w:r w:rsidRPr="00027645">
        <w:rPr>
          <w:lang w:val="fr-FR"/>
        </w:rPr>
        <w:t xml:space="preserve"> dans la </w:t>
      </w:r>
      <w:r w:rsidRPr="00027645">
        <w:rPr>
          <w:bCs/>
          <w:lang w:val="fr-FR"/>
        </w:rPr>
        <w:t>base de données du système d'information Schengen (SIS)</w:t>
      </w:r>
      <w:r w:rsidRPr="00027645">
        <w:rPr>
          <w:lang w:val="fr-FR"/>
        </w:rPr>
        <w:t xml:space="preserve"> à l'échelle de l'UE. Il prévoit également la possibilité d'apposer un </w:t>
      </w:r>
      <w:r w:rsidRPr="00027645">
        <w:rPr>
          <w:bCs/>
          <w:lang w:val="fr-FR"/>
        </w:rPr>
        <w:t>« drapeau de sécurité »</w:t>
      </w:r>
      <w:r w:rsidRPr="00027645">
        <w:rPr>
          <w:lang w:val="fr-FR"/>
        </w:rPr>
        <w:t xml:space="preserve"> sur les signaux de personnes considérées comme une </w:t>
      </w:r>
      <w:r w:rsidRPr="00027645">
        <w:rPr>
          <w:bCs/>
          <w:lang w:val="fr-FR"/>
        </w:rPr>
        <w:t>« menace pour l'ordre public, la sécurité publique ou la sécurité nationale »</w:t>
      </w:r>
      <w:r w:rsidRPr="00027645">
        <w:rPr>
          <w:lang w:val="fr-FR"/>
        </w:rPr>
        <w:t>.</w:t>
      </w:r>
    </w:p>
    <w:p w14:paraId="42DA7497" w14:textId="22B4EB1D" w:rsidR="00027645" w:rsidRPr="00027645" w:rsidRDefault="00027645" w:rsidP="00F51BF9">
      <w:pPr>
        <w:pStyle w:val="BodyText"/>
        <w:spacing w:before="120" w:line="288" w:lineRule="auto"/>
        <w:rPr>
          <w:lang w:val="fr-FR"/>
        </w:rPr>
      </w:pPr>
      <w:r w:rsidRPr="00027645">
        <w:rPr>
          <w:lang w:val="fr-FR"/>
        </w:rPr>
        <w:t xml:space="preserve">Les </w:t>
      </w:r>
      <w:r w:rsidRPr="00027645">
        <w:rPr>
          <w:bCs/>
          <w:lang w:val="fr-FR"/>
        </w:rPr>
        <w:t>recours contre les décisions de retour</w:t>
      </w:r>
      <w:r w:rsidRPr="00027645">
        <w:rPr>
          <w:lang w:val="fr-FR"/>
        </w:rPr>
        <w:t xml:space="preserve"> ne devraient avoir un </w:t>
      </w:r>
      <w:r w:rsidRPr="00027645">
        <w:rPr>
          <w:bCs/>
          <w:lang w:val="fr-FR"/>
        </w:rPr>
        <w:t>effet suspensif</w:t>
      </w:r>
      <w:r w:rsidRPr="00027645">
        <w:rPr>
          <w:lang w:val="fr-FR"/>
        </w:rPr>
        <w:t xml:space="preserve"> que </w:t>
      </w:r>
      <w:r w:rsidRPr="00027645">
        <w:rPr>
          <w:bCs/>
          <w:lang w:val="fr-FR"/>
        </w:rPr>
        <w:t>« lorsqu'il existe un risque que le ressortissant de pays tiers concerné soit exposé à un risque réel de mauvais traitement en cas de retour »</w:t>
      </w:r>
      <w:r w:rsidRPr="00027645">
        <w:rPr>
          <w:lang w:val="fr-FR"/>
        </w:rPr>
        <w:t>.</w:t>
      </w:r>
      <w:r>
        <w:rPr>
          <w:lang w:val="fr-FR"/>
        </w:rPr>
        <w:t xml:space="preserve"> </w:t>
      </w:r>
      <w:r w:rsidRPr="00027645">
        <w:rPr>
          <w:lang w:val="fr-FR"/>
        </w:rPr>
        <w:t xml:space="preserve">En l'absence d'un tel risque avéré, le document stipule que </w:t>
      </w:r>
      <w:r w:rsidRPr="00027645">
        <w:rPr>
          <w:bCs/>
          <w:lang w:val="fr-FR"/>
        </w:rPr>
        <w:t>l'effet suspensif ne devrait pas s’appliquer,</w:t>
      </w:r>
      <w:r w:rsidRPr="00027645">
        <w:rPr>
          <w:lang w:val="fr-FR"/>
        </w:rPr>
        <w:t xml:space="preserve"> ce qui </w:t>
      </w:r>
      <w:r w:rsidRPr="00027645">
        <w:rPr>
          <w:bCs/>
          <w:lang w:val="fr-FR"/>
        </w:rPr>
        <w:t>augmente le risque de renvoyer une personne en danger</w:t>
      </w:r>
      <w:r w:rsidRPr="00027645">
        <w:rPr>
          <w:lang w:val="fr-FR"/>
        </w:rPr>
        <w:t>.</w:t>
      </w:r>
    </w:p>
    <w:p w14:paraId="107FB8AA" w14:textId="35C31906" w:rsidR="00027645" w:rsidRDefault="00027645" w:rsidP="00F51BF9">
      <w:pPr>
        <w:pStyle w:val="BodyText"/>
        <w:spacing w:before="120" w:line="288" w:lineRule="auto"/>
        <w:ind w:left="0"/>
      </w:pPr>
    </w:p>
    <w:p w14:paraId="05ABB31D" w14:textId="2D6AF956" w:rsidR="00F51BF9" w:rsidRPr="00F51BF9" w:rsidRDefault="00F51BF9" w:rsidP="00F51BF9">
      <w:pPr>
        <w:pStyle w:val="BodyText"/>
        <w:rPr>
          <w:b/>
          <w:bCs/>
          <w:lang w:val="fr-FR"/>
        </w:rPr>
      </w:pPr>
      <w:r w:rsidRPr="00F51BF9">
        <w:rPr>
          <w:b/>
          <w:bCs/>
          <w:lang w:val="fr-FR"/>
        </w:rPr>
        <w:t>« Solutions prêtes à l'emploi »</w:t>
      </w:r>
    </w:p>
    <w:p w14:paraId="6D232A7D" w14:textId="5786ED65" w:rsidR="00F51BF9" w:rsidRDefault="00F51BF9" w:rsidP="00CD46EC">
      <w:pPr>
        <w:pStyle w:val="BodyText"/>
        <w:spacing w:before="170" w:line="288" w:lineRule="auto"/>
      </w:pPr>
      <w:r>
        <w:t>Dans son</w:t>
      </w:r>
      <w:r w:rsidR="00B56B8E">
        <w:t xml:space="preserve"> </w:t>
      </w:r>
      <w:hyperlink r:id="rId145">
        <w:r w:rsidR="00B56B8E">
          <w:rPr>
            <w:color w:val="05037E"/>
            <w:u w:val="single" w:color="05037E"/>
          </w:rPr>
          <w:t>document du 9 septembre</w:t>
        </w:r>
      </w:hyperlink>
      <w:r w:rsidR="00B56B8E">
        <w:t xml:space="preserve">, </w:t>
      </w:r>
      <w:r w:rsidRPr="00F51BF9">
        <w:rPr>
          <w:lang w:val="fr-FR"/>
        </w:rPr>
        <w:t xml:space="preserve">la </w:t>
      </w:r>
      <w:r w:rsidRPr="00F51BF9">
        <w:rPr>
          <w:bCs/>
          <w:lang w:val="fr-FR"/>
        </w:rPr>
        <w:t>présidence hongroise du Conseil</w:t>
      </w:r>
      <w:r w:rsidRPr="00F51BF9">
        <w:rPr>
          <w:lang w:val="fr-FR"/>
        </w:rPr>
        <w:t xml:space="preserve"> avance plusieurs </w:t>
      </w:r>
      <w:r w:rsidRPr="00F51BF9">
        <w:rPr>
          <w:bCs/>
          <w:lang w:val="fr-FR"/>
        </w:rPr>
        <w:t>propositions supplémentaires</w:t>
      </w:r>
      <w:r w:rsidRPr="00F51BF9">
        <w:rPr>
          <w:lang w:val="fr-FR"/>
        </w:rPr>
        <w:t xml:space="preserve"> .</w:t>
      </w:r>
      <w:r>
        <w:rPr>
          <w:lang w:val="fr-FR"/>
        </w:rPr>
        <w:t xml:space="preserve"> </w:t>
      </w:r>
      <w:r w:rsidRPr="00F51BF9">
        <w:rPr>
          <w:lang w:val="fr-FR"/>
        </w:rPr>
        <w:t xml:space="preserve">Elle considère que les </w:t>
      </w:r>
      <w:r w:rsidRPr="00F51BF9">
        <w:rPr>
          <w:bCs/>
          <w:lang w:val="fr-FR"/>
        </w:rPr>
        <w:t>initiatives en cours</w:t>
      </w:r>
      <w:r w:rsidRPr="00F51BF9">
        <w:rPr>
          <w:lang w:val="fr-FR"/>
        </w:rPr>
        <w:t xml:space="preserve">, telles que la </w:t>
      </w:r>
      <w:r w:rsidRPr="00F51BF9">
        <w:rPr>
          <w:bCs/>
          <w:lang w:val="fr-FR"/>
        </w:rPr>
        <w:t>réforme du régime d'asile européen commun</w:t>
      </w:r>
      <w:r w:rsidRPr="00F51BF9">
        <w:rPr>
          <w:lang w:val="fr-FR"/>
        </w:rPr>
        <w:t xml:space="preserve">, ne suffisent pas à </w:t>
      </w:r>
      <w:r w:rsidRPr="00F51BF9">
        <w:rPr>
          <w:bCs/>
          <w:lang w:val="fr-FR"/>
        </w:rPr>
        <w:t>« réduire la charge globale qui pèse sur les États membres »</w:t>
      </w:r>
      <w:r>
        <w:rPr>
          <w:lang w:val="fr-FR"/>
        </w:rPr>
        <w:t xml:space="preserve">. </w:t>
      </w:r>
      <w:r w:rsidRPr="00F51BF9">
        <w:rPr>
          <w:lang w:val="fr-FR"/>
        </w:rPr>
        <w:t xml:space="preserve">Face à cette situation, elle appelle à des </w:t>
      </w:r>
      <w:r w:rsidRPr="00F51BF9">
        <w:rPr>
          <w:bCs/>
          <w:lang w:val="fr-FR"/>
        </w:rPr>
        <w:t>solutions innovantes</w:t>
      </w:r>
      <w:r w:rsidRPr="00F51BF9">
        <w:rPr>
          <w:lang w:val="fr-FR"/>
        </w:rPr>
        <w:t xml:space="preserve"> qui sortent </w:t>
      </w:r>
      <w:r w:rsidRPr="00F51BF9">
        <w:rPr>
          <w:bCs/>
          <w:lang w:val="fr-FR"/>
        </w:rPr>
        <w:t>« des sentiers battus »</w:t>
      </w:r>
      <w:r w:rsidRPr="00F51BF9">
        <w:rPr>
          <w:lang w:val="fr-FR"/>
        </w:rPr>
        <w:t>.</w:t>
      </w:r>
    </w:p>
    <w:p w14:paraId="6DA2A6F1" w14:textId="3B666551" w:rsidR="00CD46EC" w:rsidRPr="00CD46EC" w:rsidRDefault="00CD46EC" w:rsidP="00CD46EC">
      <w:pPr>
        <w:pStyle w:val="BodyText"/>
        <w:spacing w:before="120" w:line="288" w:lineRule="auto"/>
        <w:ind w:right="214"/>
        <w:rPr>
          <w:spacing w:val="-2"/>
        </w:rPr>
      </w:pPr>
      <w:r>
        <w:t>Cette approche inclut</w:t>
      </w:r>
      <w:r w:rsidR="00B56B8E">
        <w:t xml:space="preserve"> des progrès sur la refonte de la directive sur le retour, bloquée depuis 2020 et devrait faire l'objet d'une nouvelle proposition l'année prochaine. La refonte </w:t>
      </w:r>
      <w:hyperlink r:id="rId146">
        <w:r>
          <w:rPr>
            <w:color w:val="05037E"/>
            <w:u w:val="single" w:color="05037E"/>
          </w:rPr>
          <w:t>a été présent</w:t>
        </w:r>
        <w:r w:rsidR="00B56B8E">
          <w:rPr>
            <w:color w:val="05037E"/>
            <w:u w:val="single" w:color="05037E"/>
          </w:rPr>
          <w:t>ée</w:t>
        </w:r>
      </w:hyperlink>
      <w:r w:rsidR="00B56B8E">
        <w:t xml:space="preserve"> comme une réforme "d'enfermement" en raison de l'augmentation du nombre de motifs de détention précédant les expulsions. Il est peu probable que la nouvelle proposition adopte une approche plus souple. Il est intéressant de noter qu'</w:t>
      </w:r>
      <w:hyperlink r:id="rId147">
        <w:r w:rsidR="00B56B8E">
          <w:rPr>
            <w:color w:val="05037E"/>
            <w:u w:val="single" w:color="05037E"/>
          </w:rPr>
          <w:t>un document datant du mois de mars</w:t>
        </w:r>
      </w:hyperlink>
      <w:r w:rsidR="00B56B8E">
        <w:t xml:space="preserve"> demandait </w:t>
      </w:r>
      <w:r w:rsidRPr="00CD46EC">
        <w:rPr>
          <w:lang w:val="fr-FR"/>
        </w:rPr>
        <w:t xml:space="preserve">aux délégations des États membres de donner leur avis sur la nécessité pour la législation de l'UE d' </w:t>
      </w:r>
      <w:r w:rsidRPr="00CD46EC">
        <w:rPr>
          <w:bCs/>
          <w:lang w:val="fr-FR"/>
        </w:rPr>
        <w:t>« établir des capacités minimales de détention au niveau de l'UE et au niveau national »</w:t>
      </w:r>
      <w:r w:rsidRPr="00CD46EC">
        <w:rPr>
          <w:lang w:val="fr-FR"/>
        </w:rPr>
        <w:t xml:space="preserve"> .</w:t>
      </w:r>
    </w:p>
    <w:p w14:paraId="63834D99" w14:textId="77777777" w:rsidR="009E4368" w:rsidRDefault="009E4368" w:rsidP="009E4368">
      <w:pPr>
        <w:pStyle w:val="BodyText"/>
        <w:spacing w:line="288" w:lineRule="auto"/>
      </w:pPr>
    </w:p>
    <w:p w14:paraId="0556B191" w14:textId="63A3C9BA" w:rsidR="00CD46EC" w:rsidRPr="00CD46EC" w:rsidRDefault="00CD46EC" w:rsidP="009E4368">
      <w:pPr>
        <w:pStyle w:val="BodyText"/>
        <w:spacing w:line="288" w:lineRule="auto"/>
        <w:rPr>
          <w:lang w:val="fr-FR"/>
        </w:rPr>
      </w:pPr>
      <w:r w:rsidRPr="00CD46EC">
        <w:rPr>
          <w:lang w:val="fr-FR"/>
        </w:rPr>
        <w:t xml:space="preserve">Le </w:t>
      </w:r>
      <w:r w:rsidRPr="00CD46EC">
        <w:rPr>
          <w:bCs/>
          <w:lang w:val="fr-FR"/>
        </w:rPr>
        <w:t>taux de retour</w:t>
      </w:r>
      <w:r w:rsidRPr="00CD46EC">
        <w:rPr>
          <w:lang w:val="fr-FR"/>
        </w:rPr>
        <w:t xml:space="preserve"> (rapport entre les expulsions ordonnées et celles effectivement exécutées) est mis en avant pour justifier la nécessité de </w:t>
      </w:r>
      <w:r w:rsidRPr="00CD46EC">
        <w:rPr>
          <w:bCs/>
          <w:lang w:val="fr-FR"/>
        </w:rPr>
        <w:t>solutions « hors normes »</w:t>
      </w:r>
      <w:r>
        <w:rPr>
          <w:lang w:val="fr-FR"/>
        </w:rPr>
        <w:t xml:space="preserve">. </w:t>
      </w:r>
      <w:r w:rsidRPr="00CD46EC">
        <w:rPr>
          <w:lang w:val="fr-FR"/>
        </w:rPr>
        <w:t xml:space="preserve">En </w:t>
      </w:r>
      <w:r w:rsidR="009E4368" w:rsidRPr="00CD46EC">
        <w:rPr>
          <w:bCs/>
          <w:lang w:val="fr-FR"/>
        </w:rPr>
        <w:t>2023</w:t>
      </w:r>
      <w:r w:rsidR="009E4368" w:rsidRPr="00CD46EC">
        <w:rPr>
          <w:lang w:val="fr-FR"/>
        </w:rPr>
        <w:t>,</w:t>
      </w:r>
      <w:r w:rsidRPr="00CD46EC">
        <w:rPr>
          <w:lang w:val="fr-FR"/>
        </w:rPr>
        <w:t xml:space="preserve"> </w:t>
      </w:r>
      <w:r w:rsidRPr="00CD46EC">
        <w:rPr>
          <w:bCs/>
          <w:lang w:val="fr-FR"/>
        </w:rPr>
        <w:t>484 160</w:t>
      </w:r>
      <w:r w:rsidRPr="00CD46EC">
        <w:rPr>
          <w:lang w:val="fr-FR"/>
        </w:rPr>
        <w:t xml:space="preserve"> mesures d'éloignement ont été prononcées, mais seulement </w:t>
      </w:r>
      <w:r w:rsidRPr="00CD46EC">
        <w:rPr>
          <w:bCs/>
          <w:lang w:val="fr-FR"/>
        </w:rPr>
        <w:t>91 465</w:t>
      </w:r>
      <w:r w:rsidRPr="00CD46EC">
        <w:rPr>
          <w:lang w:val="fr-FR"/>
        </w:rPr>
        <w:t xml:space="preserve"> ont été exécutées, soit un </w:t>
      </w:r>
      <w:r w:rsidRPr="00CD46EC">
        <w:rPr>
          <w:bCs/>
          <w:lang w:val="fr-FR"/>
        </w:rPr>
        <w:t>taux de 18,9 %</w:t>
      </w:r>
      <w:r w:rsidRPr="00CD46EC">
        <w:rPr>
          <w:lang w:val="fr-FR"/>
        </w:rPr>
        <w:t>.</w:t>
      </w:r>
      <w:r w:rsidR="009E4368">
        <w:rPr>
          <w:lang w:val="fr-FR"/>
        </w:rPr>
        <w:t xml:space="preserve"> </w:t>
      </w:r>
      <w:r w:rsidRPr="00CD46EC">
        <w:rPr>
          <w:lang w:val="fr-FR"/>
        </w:rPr>
        <w:t xml:space="preserve">Bien que la </w:t>
      </w:r>
      <w:r w:rsidRPr="00CD46EC">
        <w:rPr>
          <w:bCs/>
          <w:lang w:val="fr-FR"/>
        </w:rPr>
        <w:t>présidence hongroise</w:t>
      </w:r>
      <w:r w:rsidRPr="00CD46EC">
        <w:rPr>
          <w:lang w:val="fr-FR"/>
        </w:rPr>
        <w:t xml:space="preserve"> reconnaisse que </w:t>
      </w:r>
      <w:r w:rsidRPr="00CD46EC">
        <w:rPr>
          <w:bCs/>
          <w:lang w:val="fr-FR"/>
        </w:rPr>
        <w:t>« l'écart »</w:t>
      </w:r>
      <w:r w:rsidRPr="00CD46EC">
        <w:rPr>
          <w:lang w:val="fr-FR"/>
        </w:rPr>
        <w:t xml:space="preserve"> entre les décisions et les expulsions </w:t>
      </w:r>
      <w:r w:rsidRPr="00CD46EC">
        <w:rPr>
          <w:bCs/>
          <w:lang w:val="fr-FR"/>
        </w:rPr>
        <w:t>se réduit</w:t>
      </w:r>
      <w:r w:rsidRPr="00CD46EC">
        <w:rPr>
          <w:lang w:val="fr-FR"/>
        </w:rPr>
        <w:t xml:space="preserve"> , elle affirme qu' </w:t>
      </w:r>
      <w:r w:rsidRPr="00CD46EC">
        <w:rPr>
          <w:bCs/>
          <w:lang w:val="fr-FR"/>
        </w:rPr>
        <w:t>« il y a encore une marge importante d'amélioration »</w:t>
      </w:r>
      <w:r w:rsidRPr="00CD46EC">
        <w:rPr>
          <w:lang w:val="fr-FR"/>
        </w:rPr>
        <w:t xml:space="preserve"> .</w:t>
      </w:r>
    </w:p>
    <w:p w14:paraId="5F11E5CC" w14:textId="77777777" w:rsidR="00CD46EC" w:rsidRDefault="00CD46EC">
      <w:pPr>
        <w:pStyle w:val="BodyText"/>
        <w:spacing w:line="288" w:lineRule="auto"/>
        <w:sectPr w:rsidR="00CD46EC">
          <w:pgSz w:w="11910" w:h="16840"/>
          <w:pgMar w:top="1320" w:right="1275" w:bottom="1960" w:left="1275" w:header="0" w:footer="1766" w:gutter="0"/>
          <w:cols w:space="720"/>
        </w:sectPr>
      </w:pPr>
    </w:p>
    <w:p w14:paraId="1084969D" w14:textId="5E21DE19" w:rsidR="009E4368" w:rsidRPr="00F37D0E" w:rsidRDefault="009E4368" w:rsidP="00F37D0E">
      <w:pPr>
        <w:pStyle w:val="BodyText"/>
        <w:spacing w:before="77" w:line="288" w:lineRule="auto"/>
        <w:ind w:right="282"/>
        <w:rPr>
          <w:highlight w:val="yellow"/>
          <w:lang w:val="fr-FR"/>
        </w:rPr>
      </w:pPr>
      <w:r>
        <w:t>Les</w:t>
      </w:r>
      <w:r w:rsidR="00B56B8E">
        <w:t xml:space="preserve"> violence</w:t>
      </w:r>
      <w:r>
        <w:t>s</w:t>
      </w:r>
      <w:r w:rsidR="00B56B8E">
        <w:t xml:space="preserve"> et les abus</w:t>
      </w:r>
      <w:r>
        <w:t xml:space="preserve"> liés</w:t>
      </w:r>
      <w:r w:rsidR="00B56B8E">
        <w:t xml:space="preserve"> </w:t>
      </w:r>
      <w:r>
        <w:t xml:space="preserve">au </w:t>
      </w:r>
      <w:r w:rsidR="00B56B8E">
        <w:t xml:space="preserve">système d'expulsion ne </w:t>
      </w:r>
      <w:r>
        <w:t xml:space="preserve">sont pas mentionnés, malgré les </w:t>
      </w:r>
      <w:r>
        <w:rPr>
          <w:color w:val="05037E"/>
          <w:u w:val="single" w:color="05037E"/>
        </w:rPr>
        <w:t>violations des droits humains</w:t>
      </w:r>
      <w:r w:rsidR="00B56B8E">
        <w:t xml:space="preserve"> bien documentées, l'</w:t>
      </w:r>
      <w:hyperlink r:id="rId148">
        <w:r w:rsidR="00B56B8E">
          <w:rPr>
            <w:color w:val="05037E"/>
            <w:u w:val="single" w:color="05037E"/>
          </w:rPr>
          <w:t>utilisation abusive de sédatifs</w:t>
        </w:r>
      </w:hyperlink>
      <w:r w:rsidR="00B56B8E">
        <w:t xml:space="preserve">, les </w:t>
      </w:r>
      <w:hyperlink r:id="rId149">
        <w:r>
          <w:rPr>
            <w:color w:val="05037E"/>
            <w:u w:val="single" w:color="05037E"/>
          </w:rPr>
          <w:t>décès en</w:t>
        </w:r>
        <w:r w:rsidR="00B56B8E">
          <w:rPr>
            <w:color w:val="05037E"/>
            <w:u w:val="single" w:color="05037E"/>
          </w:rPr>
          <w:t xml:space="preserve"> centres de détention</w:t>
        </w:r>
      </w:hyperlink>
      <w:r w:rsidR="00B56B8E">
        <w:t xml:space="preserve"> et les pratiques </w:t>
      </w:r>
      <w:r>
        <w:t>policières discriminatoires visant à</w:t>
      </w:r>
      <w:r w:rsidR="00B56B8E">
        <w:t xml:space="preserve"> appréhender les ressortissants étrangers en vue de leur expulsion. </w:t>
      </w:r>
      <w:r w:rsidR="00F37D0E" w:rsidRPr="00F37D0E">
        <w:t>Ces réalités sont ignorées au profit d'affirmations instrumentales et spéculatives, telles que « les États membres continuent de faire face à des difficultés importantes liées aux demandes d'asile dépo</w:t>
      </w:r>
      <w:r w:rsidR="00F37D0E">
        <w:t>sées dans le seul but</w:t>
      </w:r>
      <w:r w:rsidR="00F37D0E" w:rsidRPr="00F37D0E">
        <w:t xml:space="preserve"> d'entraver les retours » et « il est peu probable qu'un grand nombre de migrants arrivant illégalement soient éligibles et remplissent les conditions pour bénéficier d'une protection internationale dans l'UE ». </w:t>
      </w:r>
    </w:p>
    <w:p w14:paraId="609EAF77" w14:textId="77777777" w:rsidR="009E4368" w:rsidRDefault="009E4368">
      <w:pPr>
        <w:pStyle w:val="BodyText"/>
        <w:spacing w:line="288" w:lineRule="auto"/>
        <w:ind w:right="161"/>
        <w:jc w:val="both"/>
      </w:pPr>
    </w:p>
    <w:p w14:paraId="6C8CBA63" w14:textId="47DB2D9C" w:rsidR="006C2327" w:rsidRPr="00F023DA" w:rsidRDefault="006C2327" w:rsidP="006C2327">
      <w:pPr>
        <w:pStyle w:val="BodyText"/>
        <w:spacing w:before="122" w:line="288" w:lineRule="auto"/>
      </w:pPr>
      <w:r w:rsidRPr="006C2327">
        <w:t xml:space="preserve">Le document demande d'élargir la « boîte à outils » d'externalisation de l'UE en y intégrant une « conditionnalité de réadmission dans le cadre du règlement sur le système de préférences généralisées (SPG) ». </w:t>
      </w:r>
      <w:r>
        <w:t xml:space="preserve">Cette mesure vise à </w:t>
      </w:r>
      <w:r w:rsidR="00B56B8E">
        <w:rPr>
          <w:color w:val="05037E"/>
          <w:u w:val="single" w:color="05037E"/>
        </w:rPr>
        <w:t xml:space="preserve">utiliser la politique commerciale pour imposer </w:t>
      </w:r>
      <w:r w:rsidR="00F023DA">
        <w:rPr>
          <w:color w:val="05037E"/>
          <w:u w:val="single" w:color="05037E"/>
        </w:rPr>
        <w:t>les priorités migratoire de l’UE</w:t>
      </w:r>
      <w:r w:rsidR="00B56B8E">
        <w:t>.</w:t>
      </w:r>
    </w:p>
    <w:p w14:paraId="49AE7CA9" w14:textId="06C96968" w:rsidR="00F023DA" w:rsidRDefault="00F023DA">
      <w:pPr>
        <w:pStyle w:val="BodyText"/>
        <w:spacing w:line="288" w:lineRule="auto"/>
        <w:ind w:left="141"/>
      </w:pPr>
      <w:r w:rsidRPr="00F023DA">
        <w:t>Par ailleurs, il appelle à intensifier l'approche « Team Europe » et à renforcer les « partenariats » avec les États non membres de l'UE. Cela revient à encourager des initiatives déjà évoquées comme pertinentes du chantage, tout en offrant de nouvelles incitations aux pays niveaux.</w:t>
      </w:r>
    </w:p>
    <w:p w14:paraId="61AC3072" w14:textId="7C36FFED" w:rsidR="007C01C5" w:rsidRPr="007C01C5" w:rsidRDefault="007C01C5" w:rsidP="007C01C5">
      <w:pPr>
        <w:pStyle w:val="Heading3"/>
        <w:rPr>
          <w:spacing w:val="-2"/>
        </w:rPr>
      </w:pPr>
      <w:r w:rsidRPr="007C01C5">
        <w:rPr>
          <w:spacing w:val="-2"/>
        </w:rPr>
        <w:t>Les États membres doivent « améliorer de manière significative les taux de retour ».</w:t>
      </w:r>
    </w:p>
    <w:p w14:paraId="779C7B37" w14:textId="77777777" w:rsidR="00D66134" w:rsidRDefault="00D66134">
      <w:pPr>
        <w:pStyle w:val="Heading3"/>
      </w:pPr>
    </w:p>
    <w:p w14:paraId="7CC03979" w14:textId="77777777" w:rsidR="008D5F35" w:rsidRDefault="007C01C5" w:rsidP="008D5F35">
      <w:pPr>
        <w:pStyle w:val="BodyText"/>
        <w:spacing w:before="169" w:line="288" w:lineRule="auto"/>
        <w:ind w:right="214"/>
      </w:pPr>
      <w:r>
        <w:t>D</w:t>
      </w:r>
      <w:r w:rsidR="00B56B8E">
        <w:t xml:space="preserve">ans un </w:t>
      </w:r>
      <w:hyperlink r:id="rId150">
        <w:r w:rsidR="00B56B8E">
          <w:rPr>
            <w:color w:val="05037E"/>
            <w:u w:val="single" w:color="05037E"/>
          </w:rPr>
          <w:t>document de la</w:t>
        </w:r>
      </w:hyperlink>
      <w:r w:rsidR="00B56B8E">
        <w:t xml:space="preserve"> présidence </w:t>
      </w:r>
      <w:hyperlink r:id="rId151">
        <w:r w:rsidR="00B56B8E">
          <w:rPr>
            <w:color w:val="05037E"/>
            <w:u w:val="single" w:color="05037E"/>
          </w:rPr>
          <w:t>distribué le 13 septembre</w:t>
        </w:r>
      </w:hyperlink>
      <w:r w:rsidR="00B56B8E">
        <w:t xml:space="preserve"> </w:t>
      </w:r>
      <w:r w:rsidRPr="007C01C5">
        <w:t>lors d'une réunion du Comité stratégique sur l'immigration, les frontières et l'asile (CSIFA), il est reproché le « blocage » du processus législatif visant à réviser la directive « retour », tout en proposant divers éléments pour un « futur cadre juridique ».</w:t>
      </w:r>
      <w:r w:rsidR="008D5F35">
        <w:t xml:space="preserve"> </w:t>
      </w:r>
    </w:p>
    <w:p w14:paraId="39F1FE7E" w14:textId="0A43F8F3" w:rsidR="006C2327" w:rsidRDefault="006C2327" w:rsidP="008D5F35">
      <w:pPr>
        <w:pStyle w:val="BodyText"/>
        <w:spacing w:before="169" w:line="288" w:lineRule="auto"/>
        <w:ind w:right="214"/>
      </w:pPr>
      <w:r>
        <w:t>Le document relève une hausse du taux de retour, passant de 15,5 % en 2022 à 18,9 % en 2023, avec des chiffres partiels pour 2024 indiquant une nouvelle augmentation, et réaffirme ainsi « la nécessité pour les États membres d'améliorer de manière significative les taux de retour ». Par ailleurs, les principales nationalités visées par ces mesures d'éloignement – ​​Algérie, Maroc, Turquie, Afghanistan, Syrie et Géorgie – présentent chacune des défis spécif</w:t>
      </w:r>
      <w:r w:rsidR="008D5F35">
        <w:t>iques en matière de protection.</w:t>
      </w:r>
    </w:p>
    <w:p w14:paraId="38673403" w14:textId="365DF0B2" w:rsidR="008D5F35" w:rsidRDefault="008D5F35" w:rsidP="008D5F35">
      <w:pPr>
        <w:pStyle w:val="BodyText"/>
        <w:spacing w:before="122" w:line="288" w:lineRule="auto"/>
        <w:ind w:left="141"/>
      </w:pPr>
      <w:r w:rsidRPr="008D5F35">
        <w:t>Le document reprend certaines propositions « innovantes » avancées par la présidence le 9 septembre, notamment la création de camps d'expulsion extraterritoriaux, l' expulsion des personnes considérées comme une menace pour la sécurité, et l' absence d'effet suspensif automatique des recours contre les décisions d'expulsion.</w:t>
      </w:r>
    </w:p>
    <w:p w14:paraId="1390F27C" w14:textId="133EA826" w:rsidR="008D5F35" w:rsidRDefault="008D5F35" w:rsidP="008D5F35">
      <w:pPr>
        <w:pStyle w:val="BodyText"/>
        <w:spacing w:before="120" w:line="288" w:lineRule="auto"/>
        <w:ind w:right="275"/>
      </w:pPr>
      <w:r>
        <w:t>Le document fait</w:t>
      </w:r>
      <w:r w:rsidR="00B56B8E">
        <w:t xml:space="preserve"> ensuite </w:t>
      </w:r>
      <w:r>
        <w:t xml:space="preserve">reference </w:t>
      </w:r>
      <w:r w:rsidR="00B56B8E">
        <w:t xml:space="preserve">aux discussions du COREPER (le </w:t>
      </w:r>
      <w:hyperlink r:id="rId152">
        <w:r w:rsidR="00B56B8E">
          <w:rPr>
            <w:color w:val="05037E"/>
            <w:u w:val="single" w:color="05037E"/>
          </w:rPr>
          <w:t xml:space="preserve">Comité des </w:t>
        </w:r>
      </w:hyperlink>
      <w:hyperlink r:id="rId153">
        <w:r w:rsidR="00B56B8E">
          <w:rPr>
            <w:color w:val="05037E"/>
            <w:u w:val="single" w:color="05037E"/>
          </w:rPr>
          <w:t xml:space="preserve">représentants </w:t>
        </w:r>
      </w:hyperlink>
      <w:hyperlink r:id="rId154">
        <w:r w:rsidR="00B56B8E">
          <w:rPr>
            <w:color w:val="05037E"/>
            <w:u w:val="single" w:color="05037E"/>
          </w:rPr>
          <w:t>permanents</w:t>
        </w:r>
      </w:hyperlink>
      <w:r w:rsidR="00B56B8E">
        <w:t>) en septembre,</w:t>
      </w:r>
      <w:r w:rsidRPr="008D5F35">
        <w:t xml:space="preserve"> qui ont abouti à un « large accord » sur la mise à jour du cadre législatif et la volonté de supprimer les obstacles opérationnels liés aux expulsions.</w:t>
      </w:r>
    </w:p>
    <w:p w14:paraId="21A9C456" w14:textId="1951509B" w:rsidR="008D5F35" w:rsidRDefault="003F6CBF" w:rsidP="003F6CBF">
      <w:pPr>
        <w:pStyle w:val="BodyText"/>
        <w:spacing w:before="119" w:line="288" w:lineRule="auto"/>
        <w:ind w:right="214"/>
      </w:pPr>
      <w:r w:rsidRPr="003F6CBF">
        <w:t xml:space="preserve">Le document évoque également la non-coopération des ressortissants de pays tiers menacés d'expulsion et les moyens de traiter les demandes d'asile perçues comme de simples tentatives d'obstruction à l'éloignement. Certains États membres soutiennent l'idée de permettre à Frontex de faciliter les retours « de pays tiers vers des pays tiers ». Cette proposition, initialement incluse dans le règlement Frontex de 2019, avait cependant été </w:t>
      </w:r>
      <w:hyperlink r:id="rId155">
        <w:r>
          <w:rPr>
            <w:color w:val="05037E"/>
            <w:u w:val="single" w:color="05037E"/>
          </w:rPr>
          <w:t>retirée sous la pression</w:t>
        </w:r>
        <w:r w:rsidR="00B56B8E">
          <w:rPr>
            <w:color w:val="05037E"/>
            <w:u w:val="single" w:color="05037E"/>
          </w:rPr>
          <w:t xml:space="preserve"> des députés européens</w:t>
        </w:r>
        <w:r w:rsidR="00B56B8E">
          <w:t>.</w:t>
        </w:r>
      </w:hyperlink>
    </w:p>
    <w:p w14:paraId="7E6863BC" w14:textId="47C862B9" w:rsidR="003F6CBF" w:rsidRDefault="003F6CBF">
      <w:pPr>
        <w:pStyle w:val="BodyText"/>
        <w:spacing w:before="121" w:line="288" w:lineRule="auto"/>
        <w:ind w:right="214"/>
      </w:pPr>
      <w:r w:rsidRPr="003F6CBF">
        <w:t xml:space="preserve">Le document souligne que les « solutions innovantes » visant à augmenter les déportations doivent être « juridiquement, opérationnellement et diplomatiquement saines ». Cependant, si cela implique une conformité et une cohérence juridique, rien ne garantit que les </w:t>
      </w:r>
      <w:r>
        <w:t>guaranties juridiques</w:t>
      </w:r>
      <w:r w:rsidRPr="003F6CBF">
        <w:t xml:space="preserve"> existantes ne seront pas édulcorées ou supprimées.</w:t>
      </w:r>
    </w:p>
    <w:p w14:paraId="3238F509" w14:textId="40712959" w:rsidR="0048599B" w:rsidRDefault="00B56B8E" w:rsidP="0048599B">
      <w:pPr>
        <w:pStyle w:val="BodyText"/>
        <w:spacing w:before="119" w:line="288" w:lineRule="auto"/>
      </w:pPr>
      <w:r>
        <w:t xml:space="preserve">Par exemple, </w:t>
      </w:r>
      <w:r w:rsidR="0048599B">
        <w:t xml:space="preserve">le document qualifie le principe de non-refoulement d' « indispensable », précisant qu'il doit être « pris en compte et examiné tout au long de la procédure de retour ». Cependant, il reconnaît ensuite que le fait que de nombreux pays de destination des expulsions soient classés comme dangereux constituent un « défi commun », rendant ces expulsions impossibles. </w:t>
      </w:r>
    </w:p>
    <w:p w14:paraId="504C0AC1" w14:textId="77777777" w:rsidR="0048599B" w:rsidRDefault="0048599B" w:rsidP="0048599B">
      <w:pPr>
        <w:pStyle w:val="BodyText"/>
        <w:spacing w:before="119" w:line="288" w:lineRule="auto"/>
      </w:pPr>
    </w:p>
    <w:p w14:paraId="57028D63" w14:textId="0ECC95A4" w:rsidR="0048599B" w:rsidRDefault="0048599B" w:rsidP="0048599B">
      <w:pPr>
        <w:pStyle w:val="BodyText"/>
        <w:spacing w:before="120" w:line="288" w:lineRule="auto"/>
        <w:ind w:right="147"/>
      </w:pPr>
      <w:r>
        <w:t xml:space="preserve">Les efforts pour contourner cet obstacle incluent la recherche de solutions </w:t>
      </w:r>
      <w:r w:rsidR="00CE0824">
        <w:t>individuelles,</w:t>
      </w:r>
      <w:r>
        <w:t xml:space="preserve"> telles que « l'encouragement et le soutien des retours volontaires </w:t>
      </w:r>
      <w:r w:rsidR="00CE0824">
        <w:t>»,</w:t>
      </w:r>
      <w:r>
        <w:t xml:space="preserve"> la prise en compte des aspects clés du « retour durable </w:t>
      </w:r>
      <w:r w:rsidR="00CE0824">
        <w:t>»,</w:t>
      </w:r>
      <w:r>
        <w:t xml:space="preserve"> et le recours au soutien d'organisations internationales, comme le </w:t>
      </w:r>
      <w:r w:rsidR="00CE0824">
        <w:t>HCR.</w:t>
      </w:r>
      <w:r>
        <w:t xml:space="preserve"> Le document évoque également la possibilité de coopération avec des « autorités non reconnues de certains pays tiers </w:t>
      </w:r>
      <w:r w:rsidR="00CE0824">
        <w:t>»,</w:t>
      </w:r>
      <w:r>
        <w:t xml:space="preserve"> bien que cela soulève des « implications politiques plus larges </w:t>
      </w:r>
      <w:r w:rsidR="00CE0824">
        <w:t>»,</w:t>
      </w:r>
      <w:r>
        <w:t xml:space="preserve"> qui ne sont pas détaillées.</w:t>
      </w:r>
    </w:p>
    <w:p w14:paraId="0F64E322" w14:textId="04F0A8BA" w:rsidR="0048599B" w:rsidRDefault="0048599B" w:rsidP="00CE0824">
      <w:pPr>
        <w:pStyle w:val="BodyText"/>
        <w:spacing w:before="120" w:line="288" w:lineRule="auto"/>
        <w:ind w:right="147"/>
      </w:pPr>
      <w:r>
        <w:t xml:space="preserve">Le principe de non-refoulement est présenté comme un « défi » principalement en ce qui concerne l' expulsion d'individus comme une menace pour la </w:t>
      </w:r>
      <w:r w:rsidR="00CE0824">
        <w:t>sécurité.</w:t>
      </w:r>
      <w:r>
        <w:t xml:space="preserve"> Cette question semble être une priorité majeure pour les États membres de l'UE. Reste à savoir si cette présomption d'urgence à éliminer les « menaces » pour l'UE servira à fragiliser plus largement l</w:t>
      </w:r>
      <w:r w:rsidR="00CE0824">
        <w:t>e principe de non-refoulement.</w:t>
      </w:r>
    </w:p>
    <w:p w14:paraId="6C0D40A3" w14:textId="77777777" w:rsidR="00D66134" w:rsidRDefault="00B56B8E">
      <w:pPr>
        <w:pStyle w:val="Heading3"/>
        <w:spacing w:before="119"/>
      </w:pPr>
      <w:r>
        <w:t xml:space="preserve">Suivre le </w:t>
      </w:r>
      <w:r>
        <w:rPr>
          <w:spacing w:val="-2"/>
        </w:rPr>
        <w:t>schéma directeur</w:t>
      </w:r>
    </w:p>
    <w:p w14:paraId="737D7816" w14:textId="4480C4F0" w:rsidR="00CE0824" w:rsidRDefault="00CE0824" w:rsidP="00CE0824">
      <w:pPr>
        <w:pStyle w:val="BodyText"/>
        <w:spacing w:before="172" w:line="288" w:lineRule="auto"/>
        <w:ind w:right="177"/>
      </w:pPr>
      <w:r>
        <w:t>La présidence hongroise s'inscrit, sans surprise, dans la continuité du schéma directeur des retours établi par ses antérieurs, avec un accent particulier sur l'expansion de la détention, la création de camps de déportation extraterritoriales et l' affaiblissement des garanties juridiques. L'objectif semble être de préparer le terrain pour une prochaine proposition de la Commission sur une nouvelle loi sur la déportation, encore plus restrictive pour les individus concernés. Les documents révèlent également une tendance préoccupante à considérer les personnes originaires de pays majoritairement musulmans, notamment la Syrie et l’Afghanistan, comme des menaces inhérentes à la sécurité et à l'ordre public. Cette approche s'accompagne d'une volonté de fragiliser les protections contre le non-refoulement et de réduire l'examen des demandes d'asile et des recours, en s'appuyant sur des présomptions quant à leur caractère supposé instrumental.</w:t>
      </w:r>
    </w:p>
    <w:p w14:paraId="2F74E937" w14:textId="77777777" w:rsidR="00CE0824" w:rsidRDefault="00CE0824" w:rsidP="00CE0824">
      <w:pPr>
        <w:pStyle w:val="BodyText"/>
        <w:spacing w:before="172" w:line="288" w:lineRule="auto"/>
        <w:ind w:right="177"/>
      </w:pPr>
    </w:p>
    <w:p w14:paraId="3323BB52" w14:textId="77777777" w:rsidR="00CE0824" w:rsidRDefault="00CE0824" w:rsidP="00CE0824">
      <w:pPr>
        <w:pStyle w:val="BodyText"/>
        <w:spacing w:before="172" w:line="288" w:lineRule="auto"/>
        <w:ind w:right="177"/>
      </w:pPr>
    </w:p>
    <w:p w14:paraId="7CD6188B" w14:textId="77777777" w:rsidR="00CE0824" w:rsidRDefault="00CE0824" w:rsidP="00CE0824">
      <w:pPr>
        <w:pStyle w:val="BodyText"/>
        <w:spacing w:before="172" w:line="288" w:lineRule="auto"/>
        <w:ind w:right="177"/>
      </w:pPr>
    </w:p>
    <w:p w14:paraId="3C7891F2" w14:textId="77777777" w:rsidR="00CE0824" w:rsidRDefault="00CE0824" w:rsidP="00CE0824">
      <w:pPr>
        <w:pStyle w:val="BodyText"/>
        <w:spacing w:before="172" w:line="288" w:lineRule="auto"/>
        <w:ind w:right="177"/>
      </w:pPr>
    </w:p>
    <w:p w14:paraId="6009E61D" w14:textId="6EFA1108" w:rsidR="00D66134" w:rsidRDefault="00D66134">
      <w:pPr>
        <w:pStyle w:val="BodyText"/>
        <w:ind w:left="0"/>
      </w:pPr>
    </w:p>
    <w:p w14:paraId="76CDCF35" w14:textId="77777777" w:rsidR="00D66134" w:rsidRDefault="00D66134">
      <w:pPr>
        <w:pStyle w:val="BodyText"/>
        <w:spacing w:before="68"/>
        <w:ind w:left="0"/>
      </w:pPr>
    </w:p>
    <w:p w14:paraId="50931AF1" w14:textId="77777777" w:rsidR="00D66134" w:rsidRDefault="00B56B8E">
      <w:pPr>
        <w:pStyle w:val="Heading1"/>
        <w:spacing w:before="0"/>
      </w:pPr>
      <w:bookmarkStart w:id="18" w:name="About_this_bulletin"/>
      <w:bookmarkStart w:id="19" w:name="_bookmark9"/>
      <w:bookmarkEnd w:id="18"/>
      <w:bookmarkEnd w:id="19"/>
      <w:r>
        <w:t xml:space="preserve">À propos de ce </w:t>
      </w:r>
      <w:r>
        <w:rPr>
          <w:spacing w:val="-2"/>
        </w:rPr>
        <w:t>bulletin</w:t>
      </w:r>
    </w:p>
    <w:p w14:paraId="1C9464E6" w14:textId="31AFB097" w:rsidR="00D12998" w:rsidRDefault="00D12998" w:rsidP="00D12998">
      <w:pPr>
        <w:pStyle w:val="BodyText"/>
        <w:spacing w:before="185" w:line="288" w:lineRule="auto"/>
        <w:ind w:left="141" w:right="214" w:hanging="1"/>
      </w:pPr>
      <w:r>
        <w:t xml:space="preserve">Ce projet, mené par </w:t>
      </w:r>
      <w:r w:rsidRPr="00D12998">
        <w:rPr>
          <w:i/>
        </w:rPr>
        <w:t>Statewatch et migration-control.info</w:t>
      </w:r>
      <w:r>
        <w:t xml:space="preserve">, avec le soutien de </w:t>
      </w:r>
      <w:r w:rsidRPr="00D12998">
        <w:rPr>
          <w:i/>
        </w:rPr>
        <w:t>Brot für die Welt, Misereor, medico international et Pro Asyl</w:t>
      </w:r>
      <w:r>
        <w:t>, vise à révéler les politiques, plans et pratiques d'externalisation de l’UE. Il met en lumière leur impact sur les droits des personnes en déplacement, ainsi que sur les normes démocratiques, la transparence et la responsabilité. Le projet lutte contre le manque d'information du public en publiant des documents clés de l'UE , en particulier ceux produits ou discutés par le Conseil de l'UE . Il répond également à l' excès d'informations dispersées issues des différentes institutions de l'UE, groupes de travail et gouvernements nationaux en résumant les évolutions thématiques et régionales et en analysant en profondeur les enjeux clés.</w:t>
      </w:r>
    </w:p>
    <w:p w14:paraId="03EF8D1F" w14:textId="77777777" w:rsidR="00D12998" w:rsidRDefault="00D12998" w:rsidP="00D12998">
      <w:pPr>
        <w:pStyle w:val="BodyText"/>
        <w:spacing w:before="185" w:line="288" w:lineRule="auto"/>
        <w:ind w:left="141" w:right="214" w:hanging="1"/>
      </w:pPr>
    </w:p>
    <w:p w14:paraId="18058F45" w14:textId="77777777" w:rsidR="00D12998" w:rsidRDefault="00D12998" w:rsidP="00D12998">
      <w:pPr>
        <w:pStyle w:val="BodyText"/>
        <w:spacing w:before="185" w:line="288" w:lineRule="auto"/>
        <w:ind w:left="141" w:right="214" w:hanging="1"/>
      </w:pPr>
    </w:p>
    <w:p w14:paraId="2855F59A" w14:textId="77777777" w:rsidR="00D12998" w:rsidRDefault="00D12998" w:rsidP="00D12998">
      <w:pPr>
        <w:pStyle w:val="BodyText"/>
        <w:spacing w:before="185" w:line="288" w:lineRule="auto"/>
        <w:ind w:left="141" w:right="214" w:hanging="1"/>
      </w:pPr>
    </w:p>
    <w:p w14:paraId="04BBDCE1" w14:textId="77777777" w:rsidR="00D12998" w:rsidRDefault="00D12998" w:rsidP="00D12998">
      <w:pPr>
        <w:pStyle w:val="BodyText"/>
        <w:spacing w:before="185" w:line="288" w:lineRule="auto"/>
        <w:ind w:left="141" w:right="214" w:hanging="1"/>
      </w:pPr>
    </w:p>
    <w:p w14:paraId="3615659A" w14:textId="77777777" w:rsidR="00D12998" w:rsidRDefault="00D12998" w:rsidP="00D12998">
      <w:pPr>
        <w:pStyle w:val="BodyText"/>
        <w:spacing w:before="185" w:line="288" w:lineRule="auto"/>
        <w:ind w:left="141" w:right="214" w:hanging="1"/>
      </w:pPr>
    </w:p>
    <w:p w14:paraId="6DE791D2" w14:textId="77777777" w:rsidR="00D12998" w:rsidRDefault="00D12998" w:rsidP="00D12998">
      <w:pPr>
        <w:pStyle w:val="BodyText"/>
        <w:spacing w:before="185" w:line="288" w:lineRule="auto"/>
        <w:ind w:left="141" w:right="214" w:hanging="1"/>
      </w:pPr>
    </w:p>
    <w:p w14:paraId="6EB33D8F" w14:textId="77777777" w:rsidR="00D12998" w:rsidRDefault="00D12998">
      <w:pPr>
        <w:pStyle w:val="BodyText"/>
        <w:spacing w:before="185" w:line="288" w:lineRule="auto"/>
        <w:ind w:left="141" w:right="214" w:hanging="1"/>
      </w:pPr>
    </w:p>
    <w:sectPr w:rsidR="00D12998">
      <w:pgSz w:w="11910" w:h="16840"/>
      <w:pgMar w:top="1320" w:right="1275" w:bottom="1960" w:left="1275" w:header="0" w:footer="17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D0A11" w14:textId="77777777" w:rsidR="00BF79DD" w:rsidRDefault="00BF79DD">
      <w:r>
        <w:separator/>
      </w:r>
    </w:p>
  </w:endnote>
  <w:endnote w:type="continuationSeparator" w:id="0">
    <w:p w14:paraId="4EA9F9EC" w14:textId="77777777" w:rsidR="00BF79DD" w:rsidRDefault="00BF7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4F41E" w14:textId="77777777" w:rsidR="002E556E" w:rsidRDefault="002E556E">
    <w:pPr>
      <w:pStyle w:val="BodyText"/>
      <w:spacing w:line="14" w:lineRule="auto"/>
      <w:ind w:left="0"/>
      <w:rPr>
        <w:sz w:val="18"/>
      </w:rPr>
    </w:pPr>
    <w:r>
      <w:rPr>
        <w:noProof/>
        <w:sz w:val="18"/>
        <w:lang w:val="fr-FR" w:eastAsia="fr-FR"/>
      </w:rPr>
      <mc:AlternateContent>
        <mc:Choice Requires="wps">
          <w:drawing>
            <wp:anchor distT="0" distB="0" distL="0" distR="0" simplePos="0" relativeHeight="487281152" behindDoc="1" locked="0" layoutInCell="1" allowOverlap="1" wp14:anchorId="5612D572" wp14:editId="2B93684E">
              <wp:simplePos x="0" y="0"/>
              <wp:positionH relativeFrom="page">
                <wp:posOffset>1983794</wp:posOffset>
              </wp:positionH>
              <wp:positionV relativeFrom="page">
                <wp:posOffset>9431068</wp:posOffset>
              </wp:positionV>
              <wp:extent cx="3589654" cy="3422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9654" cy="342265"/>
                      </a:xfrm>
                      <a:prstGeom prst="rect">
                        <a:avLst/>
                      </a:prstGeom>
                    </wps:spPr>
                    <wps:txbx>
                      <w:txbxContent>
                        <w:p w14:paraId="1B0425F6" w14:textId="77777777" w:rsidR="002E556E" w:rsidRDefault="002E556E">
                          <w:pPr>
                            <w:pStyle w:val="BodyText"/>
                            <w:spacing w:before="13"/>
                            <w:ind w:left="1378" w:right="18" w:hanging="1359"/>
                          </w:pPr>
                          <w:r>
                            <w:t>Externalisation des frontières : Suivi de la politique d'externalisation de l'UE Bulletin 4, 25 novembre 2024</w:t>
                          </w:r>
                        </w:p>
                      </w:txbxContent>
                    </wps:txbx>
                    <wps:bodyPr wrap="square" lIns="0" tIns="0" rIns="0" bIns="0" rtlCol="0">
                      <a:noAutofit/>
                    </wps:bodyPr>
                  </wps:wsp>
                </a:graphicData>
              </a:graphic>
            </wp:anchor>
          </w:drawing>
        </mc:Choice>
        <mc:Fallback>
          <w:pict>
            <v:shapetype w14:anchorId="5612D572" id="_x0000_t202" coordsize="21600,21600" o:spt="202" path="m,l,21600r21600,l21600,xe">
              <v:stroke joinstyle="miter"/>
              <v:path gradientshapeok="t" o:connecttype="rect"/>
            </v:shapetype>
            <v:shape id="Textbox 1" o:spid="_x0000_s1026" type="#_x0000_t202" style="position:absolute;margin-left:156.2pt;margin-top:742.6pt;width:282.65pt;height:26.95pt;z-index:-16035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" filled="f" stroked="f">
              <v:textbox inset="0,0,0,0">
                <w:txbxContent>
                  <w:p w14:paraId="1B0425F6" w14:textId="77777777" w:rsidR="002E556E" w:rsidRDefault="002E556E">
                    <w:pPr>
                      <w:pStyle w:val="Textkrper"/>
                      <w:spacing w:before="13"/>
                      <w:ind w:left="1378" w:right="18" w:hanging="1359"/>
                    </w:pPr>
                    <w:r>
                      <w:t>Externalisation des frontières : Suivi de la politique d'externalisation de l'UE Bulletin 4, 25 novembre 2024</w:t>
                    </w:r>
                  </w:p>
                </w:txbxContent>
              </v:textbox>
              <w10:wrap anchorx="page" anchory="page"/>
            </v:shape>
          </w:pict>
        </mc:Fallback>
      </mc:AlternateContent>
    </w:r>
    <w:r>
      <w:rPr>
        <w:noProof/>
        <w:sz w:val="18"/>
        <w:lang w:val="fr-FR" w:eastAsia="fr-FR"/>
      </w:rPr>
      <mc:AlternateContent>
        <mc:Choice Requires="wps">
          <w:drawing>
            <wp:anchor distT="0" distB="0" distL="0" distR="0" simplePos="0" relativeHeight="487281664" behindDoc="1" locked="0" layoutInCell="1" allowOverlap="1" wp14:anchorId="511555C5" wp14:editId="3A8853D0">
              <wp:simplePos x="0" y="0"/>
              <wp:positionH relativeFrom="page">
                <wp:posOffset>3689004</wp:posOffset>
              </wp:positionH>
              <wp:positionV relativeFrom="page">
                <wp:posOffset>9912543</wp:posOffset>
              </wp:positionV>
              <wp:extent cx="180975"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82245"/>
                      </a:xfrm>
                      <a:prstGeom prst="rect">
                        <a:avLst/>
                      </a:prstGeom>
                    </wps:spPr>
                    <wps:txbx>
                      <w:txbxContent>
                        <w:p w14:paraId="3914E226" w14:textId="5E6ECD04" w:rsidR="002E556E" w:rsidRDefault="002E556E">
                          <w:pPr>
                            <w:pStyle w:val="BodyText"/>
                            <w:spacing w:before="13"/>
                            <w:ind w:left="20"/>
                          </w:pPr>
                          <w:r>
                            <w:rPr>
                              <w:spacing w:val="-5"/>
                            </w:rPr>
                            <w:fldChar w:fldCharType="begin"/>
                          </w:r>
                          <w:r>
                            <w:rPr>
                              <w:spacing w:val="-5"/>
                            </w:rPr>
                            <w:instrText xml:space="preserve"> PAGE </w:instrText>
                          </w:r>
                          <w:r>
                            <w:rPr>
                              <w:spacing w:val="-5"/>
                            </w:rPr>
                            <w:fldChar w:fldCharType="separate"/>
                          </w:r>
                          <w:r w:rsidR="00AC092E">
                            <w:rPr>
                              <w:noProof/>
                              <w:spacing w:val="-5"/>
                            </w:rPr>
                            <w:t>20</w:t>
                          </w:r>
                          <w:r>
                            <w:rPr>
                              <w:spacing w:val="-5"/>
                            </w:rPr>
                            <w:fldChar w:fldCharType="end"/>
                          </w:r>
                        </w:p>
                      </w:txbxContent>
                    </wps:txbx>
                    <wps:bodyPr wrap="square" lIns="0" tIns="0" rIns="0" bIns="0" rtlCol="0">
                      <a:noAutofit/>
                    </wps:bodyPr>
                  </wps:wsp>
                </a:graphicData>
              </a:graphic>
            </wp:anchor>
          </w:drawing>
        </mc:Choice>
        <mc:Fallback>
          <w:pict>
            <v:shape w14:anchorId="511555C5" id="Textbox 2" o:spid="_x0000_s1027" type="#_x0000_t202" style="position:absolute;margin-left:290.45pt;margin-top:780.5pt;width:14.25pt;height:14.35pt;z-index:-16034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" filled="f" stroked="f">
              <v:textbox inset="0,0,0,0">
                <w:txbxContent>
                  <w:p w14:paraId="3914E226" w14:textId="5E6ECD04" w:rsidR="002E556E" w:rsidRDefault="002E556E">
                    <w:pPr>
                      <w:pStyle w:val="Textkrper"/>
                      <w:spacing w:before="13"/>
                      <w:ind w:left="20"/>
                    </w:pPr>
                    <w:r>
                      <w:rPr>
                        <w:spacing w:val="-5"/>
                      </w:rPr>
                      <w:fldChar w:fldCharType="begin"/>
                    </w:r>
                    <w:r>
                      <w:rPr>
                        <w:spacing w:val="-5"/>
                      </w:rPr>
                      <w:instrText xml:space="preserve"> PAGE </w:instrText>
                    </w:r>
                    <w:r>
                      <w:rPr>
                        <w:spacing w:val="-5"/>
                      </w:rPr>
                      <w:fldChar w:fldCharType="separate"/>
                    </w:r>
                    <w:r w:rsidR="00AC092E">
                      <w:rPr>
                        <w:noProof/>
                        <w:spacing w:val="-5"/>
                      </w:rPr>
                      <w:t>20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45C41" w14:textId="77777777" w:rsidR="00BF79DD" w:rsidRDefault="00BF79DD">
      <w:r>
        <w:separator/>
      </w:r>
    </w:p>
  </w:footnote>
  <w:footnote w:type="continuationSeparator" w:id="0">
    <w:p w14:paraId="3C533831" w14:textId="77777777" w:rsidR="00BF79DD" w:rsidRDefault="00BF7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2FEA"/>
    <w:multiLevelType w:val="multilevel"/>
    <w:tmpl w:val="CAFA7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A2B2C"/>
    <w:multiLevelType w:val="hybridMultilevel"/>
    <w:tmpl w:val="03E006AA"/>
    <w:lvl w:ilvl="0" w:tplc="ED72C3D0">
      <w:numFmt w:val="bullet"/>
      <w:lvlText w:val="•"/>
      <w:lvlJc w:val="left"/>
      <w:pPr>
        <w:ind w:left="861" w:hanging="361"/>
      </w:pPr>
      <w:rPr>
        <w:rFonts w:ascii="Calibri" w:eastAsia="Calibri" w:hAnsi="Calibri" w:cs="Calibri" w:hint="default"/>
        <w:spacing w:val="0"/>
        <w:w w:val="92"/>
        <w:lang w:val="en-US" w:eastAsia="en-US" w:bidi="ar-SA"/>
      </w:rPr>
    </w:lvl>
    <w:lvl w:ilvl="1" w:tplc="9E2C9A72">
      <w:numFmt w:val="bullet"/>
      <w:lvlText w:val="o"/>
      <w:lvlJc w:val="left"/>
      <w:pPr>
        <w:ind w:left="1581" w:hanging="361"/>
      </w:pPr>
      <w:rPr>
        <w:rFonts w:ascii="Courier New" w:eastAsia="Courier New" w:hAnsi="Courier New" w:cs="Courier New" w:hint="default"/>
        <w:b w:val="0"/>
        <w:bCs w:val="0"/>
        <w:i w:val="0"/>
        <w:iCs w:val="0"/>
        <w:spacing w:val="0"/>
        <w:w w:val="100"/>
        <w:sz w:val="19"/>
        <w:szCs w:val="19"/>
        <w:lang w:val="en-US" w:eastAsia="en-US" w:bidi="ar-SA"/>
      </w:rPr>
    </w:lvl>
    <w:lvl w:ilvl="2" w:tplc="86A032CE">
      <w:numFmt w:val="bullet"/>
      <w:lvlText w:val="•"/>
      <w:lvlJc w:val="left"/>
      <w:pPr>
        <w:ind w:left="2444" w:hanging="361"/>
      </w:pPr>
      <w:rPr>
        <w:rFonts w:hint="default"/>
        <w:lang w:val="en-US" w:eastAsia="en-US" w:bidi="ar-SA"/>
      </w:rPr>
    </w:lvl>
    <w:lvl w:ilvl="3" w:tplc="9304810E">
      <w:numFmt w:val="bullet"/>
      <w:lvlText w:val="•"/>
      <w:lvlJc w:val="left"/>
      <w:pPr>
        <w:ind w:left="3308" w:hanging="361"/>
      </w:pPr>
      <w:rPr>
        <w:rFonts w:hint="default"/>
        <w:lang w:val="en-US" w:eastAsia="en-US" w:bidi="ar-SA"/>
      </w:rPr>
    </w:lvl>
    <w:lvl w:ilvl="4" w:tplc="67AA58E2">
      <w:numFmt w:val="bullet"/>
      <w:lvlText w:val="•"/>
      <w:lvlJc w:val="left"/>
      <w:pPr>
        <w:ind w:left="4172" w:hanging="361"/>
      </w:pPr>
      <w:rPr>
        <w:rFonts w:hint="default"/>
        <w:lang w:val="en-US" w:eastAsia="en-US" w:bidi="ar-SA"/>
      </w:rPr>
    </w:lvl>
    <w:lvl w:ilvl="5" w:tplc="56403CDA">
      <w:numFmt w:val="bullet"/>
      <w:lvlText w:val="•"/>
      <w:lvlJc w:val="left"/>
      <w:pPr>
        <w:ind w:left="5036" w:hanging="361"/>
      </w:pPr>
      <w:rPr>
        <w:rFonts w:hint="default"/>
        <w:lang w:val="en-US" w:eastAsia="en-US" w:bidi="ar-SA"/>
      </w:rPr>
    </w:lvl>
    <w:lvl w:ilvl="6" w:tplc="FB36CF78">
      <w:numFmt w:val="bullet"/>
      <w:lvlText w:val="•"/>
      <w:lvlJc w:val="left"/>
      <w:pPr>
        <w:ind w:left="5900" w:hanging="361"/>
      </w:pPr>
      <w:rPr>
        <w:rFonts w:hint="default"/>
        <w:lang w:val="en-US" w:eastAsia="en-US" w:bidi="ar-SA"/>
      </w:rPr>
    </w:lvl>
    <w:lvl w:ilvl="7" w:tplc="E3466F6C">
      <w:numFmt w:val="bullet"/>
      <w:lvlText w:val="•"/>
      <w:lvlJc w:val="left"/>
      <w:pPr>
        <w:ind w:left="6764" w:hanging="361"/>
      </w:pPr>
      <w:rPr>
        <w:rFonts w:hint="default"/>
        <w:lang w:val="en-US" w:eastAsia="en-US" w:bidi="ar-SA"/>
      </w:rPr>
    </w:lvl>
    <w:lvl w:ilvl="8" w:tplc="DDB05798">
      <w:numFmt w:val="bullet"/>
      <w:lvlText w:val="•"/>
      <w:lvlJc w:val="left"/>
      <w:pPr>
        <w:ind w:left="7628" w:hanging="361"/>
      </w:pPr>
      <w:rPr>
        <w:rFonts w:hint="default"/>
        <w:lang w:val="en-US" w:eastAsia="en-US" w:bidi="ar-SA"/>
      </w:rPr>
    </w:lvl>
  </w:abstractNum>
  <w:num w:numId="1" w16cid:durableId="688263367">
    <w:abstractNumId w:val="1"/>
  </w:num>
  <w:num w:numId="2" w16cid:durableId="552236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134"/>
    <w:rsid w:val="00022397"/>
    <w:rsid w:val="00027645"/>
    <w:rsid w:val="00074A89"/>
    <w:rsid w:val="00084BC3"/>
    <w:rsid w:val="000958E9"/>
    <w:rsid w:val="000B1CA7"/>
    <w:rsid w:val="000D47CB"/>
    <w:rsid w:val="0017040C"/>
    <w:rsid w:val="00175151"/>
    <w:rsid w:val="00200C3E"/>
    <w:rsid w:val="0020316C"/>
    <w:rsid w:val="00207979"/>
    <w:rsid w:val="00213E29"/>
    <w:rsid w:val="002E556E"/>
    <w:rsid w:val="002E7D62"/>
    <w:rsid w:val="00351EA7"/>
    <w:rsid w:val="003C2686"/>
    <w:rsid w:val="003F6CBF"/>
    <w:rsid w:val="003F6D8F"/>
    <w:rsid w:val="004039F1"/>
    <w:rsid w:val="0040448A"/>
    <w:rsid w:val="0045027D"/>
    <w:rsid w:val="0048599B"/>
    <w:rsid w:val="004D1611"/>
    <w:rsid w:val="005308FE"/>
    <w:rsid w:val="00531DCF"/>
    <w:rsid w:val="005364A3"/>
    <w:rsid w:val="00541D28"/>
    <w:rsid w:val="00577C97"/>
    <w:rsid w:val="005949E7"/>
    <w:rsid w:val="006247EF"/>
    <w:rsid w:val="00697ECD"/>
    <w:rsid w:val="006C2327"/>
    <w:rsid w:val="006C51BB"/>
    <w:rsid w:val="007205A7"/>
    <w:rsid w:val="007263BD"/>
    <w:rsid w:val="0073435D"/>
    <w:rsid w:val="007548A1"/>
    <w:rsid w:val="0076246D"/>
    <w:rsid w:val="00764465"/>
    <w:rsid w:val="007C01C5"/>
    <w:rsid w:val="007C54EF"/>
    <w:rsid w:val="00817BDA"/>
    <w:rsid w:val="00822F5F"/>
    <w:rsid w:val="00831751"/>
    <w:rsid w:val="00863529"/>
    <w:rsid w:val="008C75E9"/>
    <w:rsid w:val="008D3B10"/>
    <w:rsid w:val="008D5F35"/>
    <w:rsid w:val="00917BDC"/>
    <w:rsid w:val="00962766"/>
    <w:rsid w:val="00962EA2"/>
    <w:rsid w:val="009A05B4"/>
    <w:rsid w:val="009A18F7"/>
    <w:rsid w:val="009B1B2D"/>
    <w:rsid w:val="009D23F4"/>
    <w:rsid w:val="009E4368"/>
    <w:rsid w:val="00A0676B"/>
    <w:rsid w:val="00A4189E"/>
    <w:rsid w:val="00A5729C"/>
    <w:rsid w:val="00A70F8B"/>
    <w:rsid w:val="00A85918"/>
    <w:rsid w:val="00AA6F72"/>
    <w:rsid w:val="00AC092E"/>
    <w:rsid w:val="00B16E36"/>
    <w:rsid w:val="00B3243B"/>
    <w:rsid w:val="00B56B8E"/>
    <w:rsid w:val="00B8261F"/>
    <w:rsid w:val="00BC4D36"/>
    <w:rsid w:val="00BF79DD"/>
    <w:rsid w:val="00C1727F"/>
    <w:rsid w:val="00C24E3B"/>
    <w:rsid w:val="00C82638"/>
    <w:rsid w:val="00CD46EC"/>
    <w:rsid w:val="00CE0824"/>
    <w:rsid w:val="00CF6F3C"/>
    <w:rsid w:val="00D01DD8"/>
    <w:rsid w:val="00D12998"/>
    <w:rsid w:val="00D13ACA"/>
    <w:rsid w:val="00D171F6"/>
    <w:rsid w:val="00D33B40"/>
    <w:rsid w:val="00D66134"/>
    <w:rsid w:val="00D67A15"/>
    <w:rsid w:val="00D742EA"/>
    <w:rsid w:val="00D94FB2"/>
    <w:rsid w:val="00E027A7"/>
    <w:rsid w:val="00E65179"/>
    <w:rsid w:val="00E71517"/>
    <w:rsid w:val="00E9465E"/>
    <w:rsid w:val="00EA273F"/>
    <w:rsid w:val="00EB1025"/>
    <w:rsid w:val="00F023A2"/>
    <w:rsid w:val="00F023DA"/>
    <w:rsid w:val="00F37D0E"/>
    <w:rsid w:val="00F51BF9"/>
    <w:rsid w:val="00F61D6E"/>
    <w:rsid w:val="00F74779"/>
    <w:rsid w:val="00F757FD"/>
    <w:rsid w:val="00F833A2"/>
    <w:rsid w:val="00FA22B9"/>
    <w:rsid w:val="00FA3E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C60E3"/>
  <w15:docId w15:val="{D7B52EBE-C18A-4454-9684-AB9274CB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9"/>
        <w:szCs w:val="19"/>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6"/>
      <w:ind w:left="140"/>
      <w:outlineLvl w:val="0"/>
    </w:pPr>
    <w:rPr>
      <w:b/>
      <w:bCs/>
      <w:sz w:val="25"/>
      <w:szCs w:val="25"/>
    </w:rPr>
  </w:style>
  <w:style w:type="paragraph" w:styleId="Heading2">
    <w:name w:val="heading 2"/>
    <w:basedOn w:val="Normal"/>
    <w:uiPriority w:val="9"/>
    <w:unhideWhenUsed/>
    <w:qFormat/>
    <w:pPr>
      <w:ind w:left="140"/>
      <w:outlineLvl w:val="1"/>
    </w:pPr>
    <w:rPr>
      <w:b/>
      <w:bCs/>
      <w:sz w:val="23"/>
      <w:szCs w:val="23"/>
    </w:rPr>
  </w:style>
  <w:style w:type="paragraph" w:styleId="Heading3">
    <w:name w:val="heading 3"/>
    <w:basedOn w:val="Normal"/>
    <w:uiPriority w:val="9"/>
    <w:unhideWhenUsed/>
    <w:qFormat/>
    <w:pPr>
      <w:spacing w:before="120"/>
      <w:ind w:left="140"/>
      <w:outlineLvl w:val="2"/>
    </w:pPr>
    <w:rPr>
      <w:b/>
      <w:bCs/>
    </w:rPr>
  </w:style>
  <w:style w:type="paragraph" w:styleId="Heading4">
    <w:name w:val="heading 4"/>
    <w:basedOn w:val="Normal"/>
    <w:uiPriority w:val="9"/>
    <w:unhideWhenUsed/>
    <w:qFormat/>
    <w:pPr>
      <w:spacing w:before="120"/>
      <w:ind w:left="140"/>
      <w:outlineLvl w:val="3"/>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1"/>
    <w:qFormat/>
    <w:pPr>
      <w:spacing w:before="107"/>
      <w:ind w:left="141"/>
    </w:pPr>
  </w:style>
  <w:style w:type="paragraph" w:styleId="TOC2">
    <w:name w:val="toc 2"/>
    <w:basedOn w:val="Normal"/>
    <w:uiPriority w:val="1"/>
    <w:qFormat/>
    <w:pPr>
      <w:spacing w:before="107"/>
      <w:ind w:left="424"/>
    </w:pPr>
  </w:style>
  <w:style w:type="paragraph" w:styleId="BodyText">
    <w:name w:val="Body Text"/>
    <w:basedOn w:val="Normal"/>
    <w:uiPriority w:val="1"/>
    <w:qFormat/>
    <w:pPr>
      <w:ind w:left="140"/>
    </w:pPr>
  </w:style>
  <w:style w:type="paragraph" w:styleId="Title">
    <w:name w:val="Title"/>
    <w:basedOn w:val="Normal"/>
    <w:uiPriority w:val="10"/>
    <w:qFormat/>
    <w:pPr>
      <w:ind w:left="1902" w:right="1461" w:firstLine="1181"/>
    </w:pPr>
    <w:rPr>
      <w:b/>
      <w:bCs/>
      <w:sz w:val="28"/>
      <w:szCs w:val="28"/>
    </w:rPr>
  </w:style>
  <w:style w:type="paragraph" w:styleId="ListParagraph">
    <w:name w:val="List Paragraph"/>
    <w:basedOn w:val="Normal"/>
    <w:uiPriority w:val="1"/>
    <w:qFormat/>
    <w:pPr>
      <w:spacing w:before="19"/>
      <w:ind w:left="86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72374">
      <w:bodyDiv w:val="1"/>
      <w:marLeft w:val="0"/>
      <w:marRight w:val="0"/>
      <w:marTop w:val="0"/>
      <w:marBottom w:val="0"/>
      <w:divBdr>
        <w:top w:val="none" w:sz="0" w:space="0" w:color="auto"/>
        <w:left w:val="none" w:sz="0" w:space="0" w:color="auto"/>
        <w:bottom w:val="none" w:sz="0" w:space="0" w:color="auto"/>
        <w:right w:val="none" w:sz="0" w:space="0" w:color="auto"/>
      </w:divBdr>
    </w:div>
    <w:div w:id="103620729">
      <w:bodyDiv w:val="1"/>
      <w:marLeft w:val="0"/>
      <w:marRight w:val="0"/>
      <w:marTop w:val="0"/>
      <w:marBottom w:val="0"/>
      <w:divBdr>
        <w:top w:val="none" w:sz="0" w:space="0" w:color="auto"/>
        <w:left w:val="none" w:sz="0" w:space="0" w:color="auto"/>
        <w:bottom w:val="none" w:sz="0" w:space="0" w:color="auto"/>
        <w:right w:val="none" w:sz="0" w:space="0" w:color="auto"/>
      </w:divBdr>
    </w:div>
    <w:div w:id="396590527">
      <w:bodyDiv w:val="1"/>
      <w:marLeft w:val="0"/>
      <w:marRight w:val="0"/>
      <w:marTop w:val="0"/>
      <w:marBottom w:val="0"/>
      <w:divBdr>
        <w:top w:val="none" w:sz="0" w:space="0" w:color="auto"/>
        <w:left w:val="none" w:sz="0" w:space="0" w:color="auto"/>
        <w:bottom w:val="none" w:sz="0" w:space="0" w:color="auto"/>
        <w:right w:val="none" w:sz="0" w:space="0" w:color="auto"/>
      </w:divBdr>
    </w:div>
    <w:div w:id="633874847">
      <w:bodyDiv w:val="1"/>
      <w:marLeft w:val="0"/>
      <w:marRight w:val="0"/>
      <w:marTop w:val="0"/>
      <w:marBottom w:val="0"/>
      <w:divBdr>
        <w:top w:val="none" w:sz="0" w:space="0" w:color="auto"/>
        <w:left w:val="none" w:sz="0" w:space="0" w:color="auto"/>
        <w:bottom w:val="none" w:sz="0" w:space="0" w:color="auto"/>
        <w:right w:val="none" w:sz="0" w:space="0" w:color="auto"/>
      </w:divBdr>
    </w:div>
    <w:div w:id="656035000">
      <w:bodyDiv w:val="1"/>
      <w:marLeft w:val="0"/>
      <w:marRight w:val="0"/>
      <w:marTop w:val="0"/>
      <w:marBottom w:val="0"/>
      <w:divBdr>
        <w:top w:val="none" w:sz="0" w:space="0" w:color="auto"/>
        <w:left w:val="none" w:sz="0" w:space="0" w:color="auto"/>
        <w:bottom w:val="none" w:sz="0" w:space="0" w:color="auto"/>
        <w:right w:val="none" w:sz="0" w:space="0" w:color="auto"/>
      </w:divBdr>
    </w:div>
    <w:div w:id="829830053">
      <w:bodyDiv w:val="1"/>
      <w:marLeft w:val="0"/>
      <w:marRight w:val="0"/>
      <w:marTop w:val="0"/>
      <w:marBottom w:val="0"/>
      <w:divBdr>
        <w:top w:val="none" w:sz="0" w:space="0" w:color="auto"/>
        <w:left w:val="none" w:sz="0" w:space="0" w:color="auto"/>
        <w:bottom w:val="none" w:sz="0" w:space="0" w:color="auto"/>
        <w:right w:val="none" w:sz="0" w:space="0" w:color="auto"/>
      </w:divBdr>
      <w:divsChild>
        <w:div w:id="193999458">
          <w:marLeft w:val="0"/>
          <w:marRight w:val="0"/>
          <w:marTop w:val="0"/>
          <w:marBottom w:val="0"/>
          <w:divBdr>
            <w:top w:val="none" w:sz="0" w:space="0" w:color="auto"/>
            <w:left w:val="none" w:sz="0" w:space="0" w:color="auto"/>
            <w:bottom w:val="none" w:sz="0" w:space="0" w:color="auto"/>
            <w:right w:val="none" w:sz="0" w:space="0" w:color="auto"/>
          </w:divBdr>
          <w:divsChild>
            <w:div w:id="1387220554">
              <w:marLeft w:val="0"/>
              <w:marRight w:val="0"/>
              <w:marTop w:val="0"/>
              <w:marBottom w:val="0"/>
              <w:divBdr>
                <w:top w:val="none" w:sz="0" w:space="0" w:color="auto"/>
                <w:left w:val="none" w:sz="0" w:space="0" w:color="auto"/>
                <w:bottom w:val="none" w:sz="0" w:space="0" w:color="auto"/>
                <w:right w:val="none" w:sz="0" w:space="0" w:color="auto"/>
              </w:divBdr>
              <w:divsChild>
                <w:div w:id="450901348">
                  <w:marLeft w:val="0"/>
                  <w:marRight w:val="0"/>
                  <w:marTop w:val="0"/>
                  <w:marBottom w:val="0"/>
                  <w:divBdr>
                    <w:top w:val="none" w:sz="0" w:space="0" w:color="auto"/>
                    <w:left w:val="none" w:sz="0" w:space="0" w:color="auto"/>
                    <w:bottom w:val="none" w:sz="0" w:space="0" w:color="auto"/>
                    <w:right w:val="none" w:sz="0" w:space="0" w:color="auto"/>
                  </w:divBdr>
                  <w:divsChild>
                    <w:div w:id="119245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95367">
          <w:marLeft w:val="0"/>
          <w:marRight w:val="0"/>
          <w:marTop w:val="0"/>
          <w:marBottom w:val="0"/>
          <w:divBdr>
            <w:top w:val="none" w:sz="0" w:space="0" w:color="auto"/>
            <w:left w:val="none" w:sz="0" w:space="0" w:color="auto"/>
            <w:bottom w:val="none" w:sz="0" w:space="0" w:color="auto"/>
            <w:right w:val="none" w:sz="0" w:space="0" w:color="auto"/>
          </w:divBdr>
          <w:divsChild>
            <w:div w:id="675228351">
              <w:marLeft w:val="0"/>
              <w:marRight w:val="0"/>
              <w:marTop w:val="0"/>
              <w:marBottom w:val="0"/>
              <w:divBdr>
                <w:top w:val="none" w:sz="0" w:space="0" w:color="auto"/>
                <w:left w:val="none" w:sz="0" w:space="0" w:color="auto"/>
                <w:bottom w:val="none" w:sz="0" w:space="0" w:color="auto"/>
                <w:right w:val="none" w:sz="0" w:space="0" w:color="auto"/>
              </w:divBdr>
              <w:divsChild>
                <w:div w:id="1803770040">
                  <w:marLeft w:val="0"/>
                  <w:marRight w:val="0"/>
                  <w:marTop w:val="0"/>
                  <w:marBottom w:val="0"/>
                  <w:divBdr>
                    <w:top w:val="none" w:sz="0" w:space="0" w:color="auto"/>
                    <w:left w:val="none" w:sz="0" w:space="0" w:color="auto"/>
                    <w:bottom w:val="none" w:sz="0" w:space="0" w:color="auto"/>
                    <w:right w:val="none" w:sz="0" w:space="0" w:color="auto"/>
                  </w:divBdr>
                  <w:divsChild>
                    <w:div w:id="18652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735847">
      <w:bodyDiv w:val="1"/>
      <w:marLeft w:val="0"/>
      <w:marRight w:val="0"/>
      <w:marTop w:val="0"/>
      <w:marBottom w:val="0"/>
      <w:divBdr>
        <w:top w:val="none" w:sz="0" w:space="0" w:color="auto"/>
        <w:left w:val="none" w:sz="0" w:space="0" w:color="auto"/>
        <w:bottom w:val="none" w:sz="0" w:space="0" w:color="auto"/>
        <w:right w:val="none" w:sz="0" w:space="0" w:color="auto"/>
      </w:divBdr>
    </w:div>
    <w:div w:id="1118068811">
      <w:bodyDiv w:val="1"/>
      <w:marLeft w:val="0"/>
      <w:marRight w:val="0"/>
      <w:marTop w:val="0"/>
      <w:marBottom w:val="0"/>
      <w:divBdr>
        <w:top w:val="none" w:sz="0" w:space="0" w:color="auto"/>
        <w:left w:val="none" w:sz="0" w:space="0" w:color="auto"/>
        <w:bottom w:val="none" w:sz="0" w:space="0" w:color="auto"/>
        <w:right w:val="none" w:sz="0" w:space="0" w:color="auto"/>
      </w:divBdr>
    </w:div>
    <w:div w:id="1268347785">
      <w:bodyDiv w:val="1"/>
      <w:marLeft w:val="0"/>
      <w:marRight w:val="0"/>
      <w:marTop w:val="0"/>
      <w:marBottom w:val="0"/>
      <w:divBdr>
        <w:top w:val="none" w:sz="0" w:space="0" w:color="auto"/>
        <w:left w:val="none" w:sz="0" w:space="0" w:color="auto"/>
        <w:bottom w:val="none" w:sz="0" w:space="0" w:color="auto"/>
        <w:right w:val="none" w:sz="0" w:space="0" w:color="auto"/>
      </w:divBdr>
    </w:div>
    <w:div w:id="1279485701">
      <w:bodyDiv w:val="1"/>
      <w:marLeft w:val="0"/>
      <w:marRight w:val="0"/>
      <w:marTop w:val="0"/>
      <w:marBottom w:val="0"/>
      <w:divBdr>
        <w:top w:val="none" w:sz="0" w:space="0" w:color="auto"/>
        <w:left w:val="none" w:sz="0" w:space="0" w:color="auto"/>
        <w:bottom w:val="none" w:sz="0" w:space="0" w:color="auto"/>
        <w:right w:val="none" w:sz="0" w:space="0" w:color="auto"/>
      </w:divBdr>
      <w:divsChild>
        <w:div w:id="2080404095">
          <w:marLeft w:val="0"/>
          <w:marRight w:val="0"/>
          <w:marTop w:val="0"/>
          <w:marBottom w:val="0"/>
          <w:divBdr>
            <w:top w:val="none" w:sz="0" w:space="0" w:color="auto"/>
            <w:left w:val="none" w:sz="0" w:space="0" w:color="auto"/>
            <w:bottom w:val="none" w:sz="0" w:space="0" w:color="auto"/>
            <w:right w:val="none" w:sz="0" w:space="0" w:color="auto"/>
          </w:divBdr>
          <w:divsChild>
            <w:div w:id="1306617529">
              <w:marLeft w:val="0"/>
              <w:marRight w:val="0"/>
              <w:marTop w:val="0"/>
              <w:marBottom w:val="0"/>
              <w:divBdr>
                <w:top w:val="none" w:sz="0" w:space="0" w:color="auto"/>
                <w:left w:val="none" w:sz="0" w:space="0" w:color="auto"/>
                <w:bottom w:val="none" w:sz="0" w:space="0" w:color="auto"/>
                <w:right w:val="none" w:sz="0" w:space="0" w:color="auto"/>
              </w:divBdr>
              <w:divsChild>
                <w:div w:id="1615596784">
                  <w:marLeft w:val="0"/>
                  <w:marRight w:val="0"/>
                  <w:marTop w:val="0"/>
                  <w:marBottom w:val="0"/>
                  <w:divBdr>
                    <w:top w:val="none" w:sz="0" w:space="0" w:color="auto"/>
                    <w:left w:val="none" w:sz="0" w:space="0" w:color="auto"/>
                    <w:bottom w:val="none" w:sz="0" w:space="0" w:color="auto"/>
                    <w:right w:val="none" w:sz="0" w:space="0" w:color="auto"/>
                  </w:divBdr>
                  <w:divsChild>
                    <w:div w:id="116084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42625">
          <w:marLeft w:val="0"/>
          <w:marRight w:val="0"/>
          <w:marTop w:val="0"/>
          <w:marBottom w:val="0"/>
          <w:divBdr>
            <w:top w:val="none" w:sz="0" w:space="0" w:color="auto"/>
            <w:left w:val="none" w:sz="0" w:space="0" w:color="auto"/>
            <w:bottom w:val="none" w:sz="0" w:space="0" w:color="auto"/>
            <w:right w:val="none" w:sz="0" w:space="0" w:color="auto"/>
          </w:divBdr>
          <w:divsChild>
            <w:div w:id="474569033">
              <w:marLeft w:val="0"/>
              <w:marRight w:val="0"/>
              <w:marTop w:val="0"/>
              <w:marBottom w:val="0"/>
              <w:divBdr>
                <w:top w:val="none" w:sz="0" w:space="0" w:color="auto"/>
                <w:left w:val="none" w:sz="0" w:space="0" w:color="auto"/>
                <w:bottom w:val="none" w:sz="0" w:space="0" w:color="auto"/>
                <w:right w:val="none" w:sz="0" w:space="0" w:color="auto"/>
              </w:divBdr>
              <w:divsChild>
                <w:div w:id="426968322">
                  <w:marLeft w:val="0"/>
                  <w:marRight w:val="0"/>
                  <w:marTop w:val="0"/>
                  <w:marBottom w:val="0"/>
                  <w:divBdr>
                    <w:top w:val="none" w:sz="0" w:space="0" w:color="auto"/>
                    <w:left w:val="none" w:sz="0" w:space="0" w:color="auto"/>
                    <w:bottom w:val="none" w:sz="0" w:space="0" w:color="auto"/>
                    <w:right w:val="none" w:sz="0" w:space="0" w:color="auto"/>
                  </w:divBdr>
                  <w:divsChild>
                    <w:div w:id="7260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345127">
      <w:bodyDiv w:val="1"/>
      <w:marLeft w:val="0"/>
      <w:marRight w:val="0"/>
      <w:marTop w:val="0"/>
      <w:marBottom w:val="0"/>
      <w:divBdr>
        <w:top w:val="none" w:sz="0" w:space="0" w:color="auto"/>
        <w:left w:val="none" w:sz="0" w:space="0" w:color="auto"/>
        <w:bottom w:val="none" w:sz="0" w:space="0" w:color="auto"/>
        <w:right w:val="none" w:sz="0" w:space="0" w:color="auto"/>
      </w:divBdr>
      <w:divsChild>
        <w:div w:id="1036468561">
          <w:marLeft w:val="0"/>
          <w:marRight w:val="0"/>
          <w:marTop w:val="0"/>
          <w:marBottom w:val="0"/>
          <w:divBdr>
            <w:top w:val="none" w:sz="0" w:space="0" w:color="auto"/>
            <w:left w:val="none" w:sz="0" w:space="0" w:color="auto"/>
            <w:bottom w:val="none" w:sz="0" w:space="0" w:color="auto"/>
            <w:right w:val="none" w:sz="0" w:space="0" w:color="auto"/>
          </w:divBdr>
          <w:divsChild>
            <w:div w:id="2046785789">
              <w:marLeft w:val="0"/>
              <w:marRight w:val="0"/>
              <w:marTop w:val="0"/>
              <w:marBottom w:val="0"/>
              <w:divBdr>
                <w:top w:val="none" w:sz="0" w:space="0" w:color="auto"/>
                <w:left w:val="none" w:sz="0" w:space="0" w:color="auto"/>
                <w:bottom w:val="none" w:sz="0" w:space="0" w:color="auto"/>
                <w:right w:val="none" w:sz="0" w:space="0" w:color="auto"/>
              </w:divBdr>
              <w:divsChild>
                <w:div w:id="1985504636">
                  <w:marLeft w:val="0"/>
                  <w:marRight w:val="0"/>
                  <w:marTop w:val="0"/>
                  <w:marBottom w:val="0"/>
                  <w:divBdr>
                    <w:top w:val="none" w:sz="0" w:space="0" w:color="auto"/>
                    <w:left w:val="none" w:sz="0" w:space="0" w:color="auto"/>
                    <w:bottom w:val="none" w:sz="0" w:space="0" w:color="auto"/>
                    <w:right w:val="none" w:sz="0" w:space="0" w:color="auto"/>
                  </w:divBdr>
                  <w:divsChild>
                    <w:div w:id="2376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879997">
          <w:marLeft w:val="0"/>
          <w:marRight w:val="0"/>
          <w:marTop w:val="0"/>
          <w:marBottom w:val="0"/>
          <w:divBdr>
            <w:top w:val="none" w:sz="0" w:space="0" w:color="auto"/>
            <w:left w:val="none" w:sz="0" w:space="0" w:color="auto"/>
            <w:bottom w:val="none" w:sz="0" w:space="0" w:color="auto"/>
            <w:right w:val="none" w:sz="0" w:space="0" w:color="auto"/>
          </w:divBdr>
          <w:divsChild>
            <w:div w:id="643969767">
              <w:marLeft w:val="0"/>
              <w:marRight w:val="0"/>
              <w:marTop w:val="0"/>
              <w:marBottom w:val="0"/>
              <w:divBdr>
                <w:top w:val="none" w:sz="0" w:space="0" w:color="auto"/>
                <w:left w:val="none" w:sz="0" w:space="0" w:color="auto"/>
                <w:bottom w:val="none" w:sz="0" w:space="0" w:color="auto"/>
                <w:right w:val="none" w:sz="0" w:space="0" w:color="auto"/>
              </w:divBdr>
              <w:divsChild>
                <w:div w:id="1517619612">
                  <w:marLeft w:val="0"/>
                  <w:marRight w:val="0"/>
                  <w:marTop w:val="0"/>
                  <w:marBottom w:val="0"/>
                  <w:divBdr>
                    <w:top w:val="none" w:sz="0" w:space="0" w:color="auto"/>
                    <w:left w:val="none" w:sz="0" w:space="0" w:color="auto"/>
                    <w:bottom w:val="none" w:sz="0" w:space="0" w:color="auto"/>
                    <w:right w:val="none" w:sz="0" w:space="0" w:color="auto"/>
                  </w:divBdr>
                  <w:divsChild>
                    <w:div w:id="159462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12670">
      <w:bodyDiv w:val="1"/>
      <w:marLeft w:val="0"/>
      <w:marRight w:val="0"/>
      <w:marTop w:val="0"/>
      <w:marBottom w:val="0"/>
      <w:divBdr>
        <w:top w:val="none" w:sz="0" w:space="0" w:color="auto"/>
        <w:left w:val="none" w:sz="0" w:space="0" w:color="auto"/>
        <w:bottom w:val="none" w:sz="0" w:space="0" w:color="auto"/>
        <w:right w:val="none" w:sz="0" w:space="0" w:color="auto"/>
      </w:divBdr>
    </w:div>
    <w:div w:id="1810853050">
      <w:bodyDiv w:val="1"/>
      <w:marLeft w:val="0"/>
      <w:marRight w:val="0"/>
      <w:marTop w:val="0"/>
      <w:marBottom w:val="0"/>
      <w:divBdr>
        <w:top w:val="none" w:sz="0" w:space="0" w:color="auto"/>
        <w:left w:val="none" w:sz="0" w:space="0" w:color="auto"/>
        <w:bottom w:val="none" w:sz="0" w:space="0" w:color="auto"/>
        <w:right w:val="none" w:sz="0" w:space="0" w:color="auto"/>
      </w:divBdr>
    </w:div>
    <w:div w:id="1991664419">
      <w:bodyDiv w:val="1"/>
      <w:marLeft w:val="0"/>
      <w:marRight w:val="0"/>
      <w:marTop w:val="0"/>
      <w:marBottom w:val="0"/>
      <w:divBdr>
        <w:top w:val="none" w:sz="0" w:space="0" w:color="auto"/>
        <w:left w:val="none" w:sz="0" w:space="0" w:color="auto"/>
        <w:bottom w:val="none" w:sz="0" w:space="0" w:color="auto"/>
        <w:right w:val="none" w:sz="0" w:space="0" w:color="auto"/>
      </w:divBdr>
    </w:div>
    <w:div w:id="2138912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standard.gm/eu-gambia-good-practices-document/" TargetMode="External"/><Relationship Id="rId21" Type="http://schemas.openxmlformats.org/officeDocument/2006/relationships/hyperlink" Target="https://www.statewatch.org/media/4636/9_-egypt__redacted.pdf" TargetMode="External"/><Relationship Id="rId42" Type="http://schemas.openxmlformats.org/officeDocument/2006/relationships/hyperlink" Target="https://www.statewatch.org/media/4631/wk16046-pa-en22-pa.pdf" TargetMode="External"/><Relationship Id="rId63" Type="http://schemas.openxmlformats.org/officeDocument/2006/relationships/hyperlink" Target="https://www.statewatch.org/media/4626/c4_-libya-and-tunisia-ad2_im-2021_migration.pdf" TargetMode="External"/><Relationship Id="rId84" Type="http://schemas.openxmlformats.org/officeDocument/2006/relationships/hyperlink" Target="https://www.statewatch.org/media/4625/cgm-ndici-ge-tor.pdf" TargetMode="External"/><Relationship Id="rId138" Type="http://schemas.openxmlformats.org/officeDocument/2006/relationships/hyperlink" Target="https://www.irara.org/irara-partners-with-frontex/" TargetMode="External"/><Relationship Id="rId107" Type="http://schemas.openxmlformats.org/officeDocument/2006/relationships/hyperlink" Target="https://www.statewatch.org/media/4434/10413_24.pdf" TargetMode="External"/><Relationship Id="rId11" Type="http://schemas.openxmlformats.org/officeDocument/2006/relationships/hyperlink" Target="https://www.statewatch.org/outsourcing-borders-monitoring-eu-externalisation-policy/document-archive/coordination-group-on-migration/" TargetMode="External"/><Relationship Id="rId32" Type="http://schemas.openxmlformats.org/officeDocument/2006/relationships/hyperlink" Target="https://www.statewatch.org/media/4626/c4_-libya-and-tunisia-ad2_im-2021_migration.pdf" TargetMode="External"/><Relationship Id="rId53" Type="http://schemas.openxmlformats.org/officeDocument/2006/relationships/hyperlink" Target="https://www.statewatch.org/media/4629/c1_-morocco-algeria-libya-tunisia-and-ad3_im-2021_migration.pdf" TargetMode="External"/><Relationship Id="rId74" Type="http://schemas.openxmlformats.org/officeDocument/2006/relationships/hyperlink" Target="https://www.statewatch.org/media/4628/c3_-libya-ad1_im-2021_migration.pdf" TargetMode="External"/><Relationship Id="rId128" Type="http://schemas.openxmlformats.org/officeDocument/2006/relationships/hyperlink" Target="https://www.tandfonline.com/doi/abs/10.1080/14650045.2022.2050700" TargetMode="External"/><Relationship Id="rId149" Type="http://schemas.openxmlformats.org/officeDocument/2006/relationships/hyperlink" Target="https://www.lacimade.org/wp-content/uploads/2024/05/Rapport-retention-annee-2023.pdf" TargetMode="External"/><Relationship Id="rId5" Type="http://schemas.openxmlformats.org/officeDocument/2006/relationships/footnotes" Target="footnotes.xml"/><Relationship Id="rId95" Type="http://schemas.openxmlformats.org/officeDocument/2006/relationships/hyperlink" Target="https://abolishfrontex.org/blog/2023/10/31/frontex-in-africa/" TargetMode="External"/><Relationship Id="rId22" Type="http://schemas.openxmlformats.org/officeDocument/2006/relationships/hyperlink" Target="https://www.statewatch.org/media/4636/9_-egypt__redacted.pdf" TargetMode="External"/><Relationship Id="rId43" Type="http://schemas.openxmlformats.org/officeDocument/2006/relationships/hyperlink" Target="https://www.statewatch.org/media/4626/c4_-libya-and-tunisia-ad2_im-2021_migration.pdf" TargetMode="External"/><Relationship Id="rId64" Type="http://schemas.openxmlformats.org/officeDocument/2006/relationships/hyperlink" Target="https://www.statewatch.org/media/4626/c4_-libya-and-tunisia-ad2_im-2021_migration.pdf" TargetMode="External"/><Relationship Id="rId118" Type="http://schemas.openxmlformats.org/officeDocument/2006/relationships/hyperlink" Target="https://eur-lex.europa.eu/legal-content/EN/TXT/HTML/?uri=CELEX%3A52023PC0569" TargetMode="External"/><Relationship Id="rId139" Type="http://schemas.openxmlformats.org/officeDocument/2006/relationships/hyperlink" Target="https://rm.coe.int/16806ce532" TargetMode="External"/><Relationship Id="rId80" Type="http://schemas.openxmlformats.org/officeDocument/2006/relationships/hyperlink" Target="https://www.statewatch.org/media/4631/wk16046-pa-en22-pa.pdf" TargetMode="External"/><Relationship Id="rId85" Type="http://schemas.openxmlformats.org/officeDocument/2006/relationships/hyperlink" Target="https://www.statewatch.org/media/4625/cgm-ndici-ge-tor.pdf" TargetMode="External"/><Relationship Id="rId150" Type="http://schemas.openxmlformats.org/officeDocument/2006/relationships/hyperlink" Target="https://www.statewatch.org/media/4589/eu-council-scifa-2024-09-27-3-returns-security-threats-13170-24.pdf" TargetMode="External"/><Relationship Id="rId155" Type="http://schemas.openxmlformats.org/officeDocument/2006/relationships/hyperlink" Target="https://www.statewatch.org/news/2019/february/ep-civil-liberties-committee-against-proposal-to-give-frontex-powers-to-assist-non-eu-states-with-deportations/" TargetMode="External"/><Relationship Id="rId12" Type="http://schemas.openxmlformats.org/officeDocument/2006/relationships/hyperlink" Target="https://concordeurope.org/resource/eu-seven-year-development-aid-instrument-finally-agreed-but-tarnished-by-eu-migration-politics/" TargetMode="External"/><Relationship Id="rId17" Type="http://schemas.openxmlformats.org/officeDocument/2006/relationships/hyperlink" Target="https://www.statewatch.org/analyses/2024/migration-policy-priorities-of-the-next-european-commission-a-jargon-free-translation/" TargetMode="External"/><Relationship Id="rId33" Type="http://schemas.openxmlformats.org/officeDocument/2006/relationships/hyperlink" Target="https://www.statewatch.org/media/4626/c4_-libya-and-tunisia-ad2_im-2021_migration.pdf" TargetMode="External"/><Relationship Id="rId38" Type="http://schemas.openxmlformats.org/officeDocument/2006/relationships/hyperlink" Target="https://www.statewatch.org/outsourcing-borders-monitoring-eu-externalisation-policy/document-archive/coordination-group-on-migration/" TargetMode="External"/><Relationship Id="rId59" Type="http://schemas.openxmlformats.org/officeDocument/2006/relationships/hyperlink" Target="https://www.statewatch.org/media/4637/11_-near-regional__redacted.pdf" TargetMode="External"/><Relationship Id="rId103" Type="http://schemas.openxmlformats.org/officeDocument/2006/relationships/hyperlink" Target="https://ecre.org/wp-content/uploads/2024/10/ECRE-Working-Paper-21_The-EU-Mauritania-Partnership_Whose-Priorities.pdf" TargetMode="External"/><Relationship Id="rId108" Type="http://schemas.openxmlformats.org/officeDocument/2006/relationships/hyperlink" Target="https://www.statewatch.org/media/4434/10413_24.pdf" TargetMode="External"/><Relationship Id="rId124" Type="http://schemas.openxmlformats.org/officeDocument/2006/relationships/hyperlink" Target="https://prd.frontex.europa.eu/document/management-board-decision-14-2023-on-the-approval-of-the-deployment-of-a-frontex-liaison-officer-to-the-republic-of-senegal-with-an-expanded-mandate-to-cover-the-islamic-republic-of-mauritania-and-the/" TargetMode="External"/><Relationship Id="rId129" Type="http://schemas.openxmlformats.org/officeDocument/2006/relationships/hyperlink" Target="https://academic.oup.com/jrs/article-abstract/36/3/337/6887248" TargetMode="External"/><Relationship Id="rId54" Type="http://schemas.openxmlformats.org/officeDocument/2006/relationships/hyperlink" Target="https://www.statewatch.org/media/4629/c1_-morocco-algeria-libya-tunisia-and-ad3_im-2021_migration.pdf" TargetMode="External"/><Relationship Id="rId70" Type="http://schemas.openxmlformats.org/officeDocument/2006/relationships/hyperlink" Target="https://www.statewatch.org/media/4634/7_-project-fiche-egy-protection__redacted.pdf" TargetMode="External"/><Relationship Id="rId75" Type="http://schemas.openxmlformats.org/officeDocument/2006/relationships/hyperlink" Target="https://www.statewatch.org/media/4628/c3_-libya-ad1_im-2021_migration.pdf" TargetMode="External"/><Relationship Id="rId91" Type="http://schemas.openxmlformats.org/officeDocument/2006/relationships/hyperlink" Target="https://onlinelibrary.wiley.com/doi/full/10.1111/anti.12420" TargetMode="External"/><Relationship Id="rId96" Type="http://schemas.openxmlformats.org/officeDocument/2006/relationships/hyperlink" Target="https://www.statewatch.org/news/2022/september/africa-frontex-intelligence-community-participating-agencies-named/" TargetMode="External"/><Relationship Id="rId140" Type="http://schemas.openxmlformats.org/officeDocument/2006/relationships/hyperlink" Target="https://www.statewatch.org/outsourcing-borders-monitoring-eu-externalisation-policy/document-archive/operational-coordination-mechanism-on-the-external-dimension-of-migration-mocadem/" TargetMode="External"/><Relationship Id="rId145" Type="http://schemas.openxmlformats.org/officeDocument/2006/relationships/hyperlink" Target="https://www.statewatch.org/media/4596/eu-council-coreper-more-assertive-return-policy-13129-24.pdf"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statewatch.org/outsourcing-borders-monitoring-eu-externalisation-policy/document-archive/coordination-group-on-migration/" TargetMode="External"/><Relationship Id="rId28" Type="http://schemas.openxmlformats.org/officeDocument/2006/relationships/hyperlink" Target="https://www.statewatch.org/outsourcing-borders-monitoring-eu-externalisation-policy/document-archive/coordination-group-on-migration/" TargetMode="External"/><Relationship Id="rId49" Type="http://schemas.openxmlformats.org/officeDocument/2006/relationships/hyperlink" Target="https://www.statewatch.org/media/4638/12_-near-tunisia__redacted.pdf" TargetMode="External"/><Relationship Id="rId114" Type="http://schemas.openxmlformats.org/officeDocument/2006/relationships/hyperlink" Target="https://www.statewatch.org/media/4270/eu-scifa-2024-02-20-annex-to-commision-report-frontex-evaluation-add-2.pdf" TargetMode="External"/><Relationship Id="rId119" Type="http://schemas.openxmlformats.org/officeDocument/2006/relationships/hyperlink" Target="https://standard.gm/eu-gambia-good-practices-document/" TargetMode="External"/><Relationship Id="rId44" Type="http://schemas.openxmlformats.org/officeDocument/2006/relationships/hyperlink" Target="https://www.statewatch.org/media/4626/c4_-libya-and-tunisia-ad2_im-2021_migration.pdf" TargetMode="External"/><Relationship Id="rId60" Type="http://schemas.openxmlformats.org/officeDocument/2006/relationships/hyperlink" Target="https://www.statewatch.org/outsourcing-borders-monitoring-eu-externalisation-policy/document-archive/coordination-group-on-migration/" TargetMode="External"/><Relationship Id="rId65" Type="http://schemas.openxmlformats.org/officeDocument/2006/relationships/hyperlink" Target="https://www.statewatch.org/media/4626/c4_-libya-and-tunisia-ad2_im-2021_migration.pdf" TargetMode="External"/><Relationship Id="rId81" Type="http://schemas.openxmlformats.org/officeDocument/2006/relationships/hyperlink" Target="https://www.statewatch.org/media/4631/wk16046-pa-en22-pa.pdf" TargetMode="External"/><Relationship Id="rId86" Type="http://schemas.openxmlformats.org/officeDocument/2006/relationships/hyperlink" Target="https://www.cambridge.org/core/journals/government-and-opposition/article/abs/asylum-and-the-expansion-of-deportation-in-the-united-kingdom1/B954A238975ED64A0A7281568395EE7A" TargetMode="External"/><Relationship Id="rId130" Type="http://schemas.openxmlformats.org/officeDocument/2006/relationships/hyperlink" Target="https://academic.oup.com/jrs/article-abstract/36/3/337/6887248" TargetMode="External"/><Relationship Id="rId135" Type="http://schemas.openxmlformats.org/officeDocument/2006/relationships/hyperlink" Target="https://www.statewatch.org/media/4048/eu-council-action-plan-implementation-niger-nigeria-11860-23.pdf" TargetMode="External"/><Relationship Id="rId151" Type="http://schemas.openxmlformats.org/officeDocument/2006/relationships/hyperlink" Target="https://www.statewatch.org/media/4589/eu-council-scifa-2024-09-27-3-returns-security-threats-13170-24.pdf" TargetMode="External"/><Relationship Id="rId156" Type="http://schemas.openxmlformats.org/officeDocument/2006/relationships/fontTable" Target="fontTable.xml"/><Relationship Id="rId13" Type="http://schemas.openxmlformats.org/officeDocument/2006/relationships/hyperlink" Target="https://ec.europa.eu/transparency/expert-groups-register/screen/home?lang=en" TargetMode="External"/><Relationship Id="rId18" Type="http://schemas.openxmlformats.org/officeDocument/2006/relationships/hyperlink" Target="https://www.statewatch.org/outsourcing-borders-monitoring-eu-externalisation-policy/document-archive-council-working-parties/working-party-on-integration-migration-and-expulsion/" TargetMode="External"/><Relationship Id="rId39" Type="http://schemas.openxmlformats.org/officeDocument/2006/relationships/hyperlink" Target="https://www.statewatch.org/media/4631/wk16046-pa-en22-pa.pdf" TargetMode="External"/><Relationship Id="rId109" Type="http://schemas.openxmlformats.org/officeDocument/2006/relationships/hyperlink" Target="https://www.statewatch.org/media/4434/10413_24.pdf" TargetMode="External"/><Relationship Id="rId34" Type="http://schemas.openxmlformats.org/officeDocument/2006/relationships/hyperlink" Target="https://www.statewatch.org/outsourcing-borders-monitoring-eu-externalisation-policy/document-archive/coordination-group-on-migration/" TargetMode="External"/><Relationship Id="rId50" Type="http://schemas.openxmlformats.org/officeDocument/2006/relationships/hyperlink" Target="https://www.statewatch.org/media/4638/12_-near-tunisia__redacted.pdf" TargetMode="External"/><Relationship Id="rId55" Type="http://schemas.openxmlformats.org/officeDocument/2006/relationships/hyperlink" Target="https://www.statewatch.org/media/4629/c1_-morocco-algeria-libya-tunisia-and-ad3_im-2021_migration.pdf" TargetMode="External"/><Relationship Id="rId76" Type="http://schemas.openxmlformats.org/officeDocument/2006/relationships/hyperlink" Target="https://www.statewatch.org/media/4628/c3_-libya-ad1_im-2021_migration.pdf" TargetMode="External"/><Relationship Id="rId97" Type="http://schemas.openxmlformats.org/officeDocument/2006/relationships/hyperlink" Target="https://www.statewatch.org/news/2022/september/africa-frontex-intelligence-community-participating-agencies-named/" TargetMode="External"/><Relationship Id="rId104" Type="http://schemas.openxmlformats.org/officeDocument/2006/relationships/hyperlink" Target="https://www.commissie-meijers.nl/wp-content/uploads/2023/06/CM2307.pdf" TargetMode="External"/><Relationship Id="rId120" Type="http://schemas.openxmlformats.org/officeDocument/2006/relationships/hyperlink" Target="https://www.statewatch.org/analyses/2022/frontex-the-ongoing-failure-to-implement-human-rights-safeguards/" TargetMode="External"/><Relationship Id="rId125" Type="http://schemas.openxmlformats.org/officeDocument/2006/relationships/hyperlink" Target="https://www.tandfonline.com/doi/abs/10.1080/14650045.2022.2050700" TargetMode="External"/><Relationship Id="rId141" Type="http://schemas.openxmlformats.org/officeDocument/2006/relationships/hyperlink" Target="https://www.politico.eu/wp-content/uploads/2024/10/15/October-2024-EUCO-Migration-letter.pdf" TargetMode="External"/><Relationship Id="rId146" Type="http://schemas.openxmlformats.org/officeDocument/2006/relationships/hyperlink" Target="http://eulawanalysis.blogspot.com/2018/09/lock-em-up-proposal-to-amend-eus.html" TargetMode="External"/><Relationship Id="rId7" Type="http://schemas.openxmlformats.org/officeDocument/2006/relationships/image" Target="media/image1.jpeg"/><Relationship Id="rId71" Type="http://schemas.openxmlformats.org/officeDocument/2006/relationships/hyperlink" Target="https://www.statewatch.org/media/4634/7_-project-fiche-egy-protection__redacted.pdf" TargetMode="External"/><Relationship Id="rId92" Type="http://schemas.openxmlformats.org/officeDocument/2006/relationships/hyperlink" Target="https://onlinelibrary.wiley.com/doi/full/10.1111/anti.12420" TargetMode="External"/><Relationship Id="rId2" Type="http://schemas.openxmlformats.org/officeDocument/2006/relationships/styles" Target="styles.xml"/><Relationship Id="rId29" Type="http://schemas.openxmlformats.org/officeDocument/2006/relationships/hyperlink" Target="https://www.statewatch.org/media/4633/6_-project-fiche-cross-border-coop-noa__redacted.pdf" TargetMode="External"/><Relationship Id="rId24" Type="http://schemas.openxmlformats.org/officeDocument/2006/relationships/hyperlink" Target="https://www.statewatch.org/media/4635/8_-project-fiche-police-coop-noa__redacted.pdf" TargetMode="External"/><Relationship Id="rId40" Type="http://schemas.openxmlformats.org/officeDocument/2006/relationships/hyperlink" Target="https://www.statewatch.org/media/4631/wk16046-pa-en22-pa.pdf" TargetMode="External"/><Relationship Id="rId45" Type="http://schemas.openxmlformats.org/officeDocument/2006/relationships/hyperlink" Target="https://www.statewatch.org/media/4626/c4_-libya-and-tunisia-ad2_im-2021_migration.pdf" TargetMode="External"/><Relationship Id="rId66" Type="http://schemas.openxmlformats.org/officeDocument/2006/relationships/hyperlink" Target="https://www.statewatch.org/media/4626/c4_-libya-and-tunisia-ad2_im-2021_migration.pdf" TargetMode="External"/><Relationship Id="rId87" Type="http://schemas.openxmlformats.org/officeDocument/2006/relationships/hyperlink" Target="https://www.cambridge.org/core/journals/government-and-opposition/article/abs/asylum-and-the-expansion-of-deportation-in-the-united-kingdom1/B954A238975ED64A0A7281568395EE7A" TargetMode="External"/><Relationship Id="rId110" Type="http://schemas.openxmlformats.org/officeDocument/2006/relationships/hyperlink" Target="https://www.statewatch.org/media/4434/10413_24.pdf" TargetMode="External"/><Relationship Id="rId115" Type="http://schemas.openxmlformats.org/officeDocument/2006/relationships/hyperlink" Target="https://standard.gm/eu-gambia-good-practices-document/" TargetMode="External"/><Relationship Id="rId131" Type="http://schemas.openxmlformats.org/officeDocument/2006/relationships/hyperlink" Target="https://academic.oup.com/jrs/article-abstract/36/3/337/6887248" TargetMode="External"/><Relationship Id="rId136" Type="http://schemas.openxmlformats.org/officeDocument/2006/relationships/hyperlink" Target="https://www.statewatch.org/media/2898/eu-council-migration-action-plan-nigeria-11951-21.pdf" TargetMode="External"/><Relationship Id="rId157" Type="http://schemas.openxmlformats.org/officeDocument/2006/relationships/theme" Target="theme/theme1.xml"/><Relationship Id="rId61" Type="http://schemas.openxmlformats.org/officeDocument/2006/relationships/hyperlink" Target="https://www.statewatch.org/media/4630/wk11796-en24-pa.pdf" TargetMode="External"/><Relationship Id="rId82" Type="http://schemas.openxmlformats.org/officeDocument/2006/relationships/hyperlink" Target="https://www.statewatch.org/media/4625/cgm-ndici-ge-tor.pdf" TargetMode="External"/><Relationship Id="rId152" Type="http://schemas.openxmlformats.org/officeDocument/2006/relationships/hyperlink" Target="https://eur-lex.europa.eu/EN/legal-content/glossary/coreper.html" TargetMode="External"/><Relationship Id="rId19" Type="http://schemas.openxmlformats.org/officeDocument/2006/relationships/hyperlink" Target="https://www.statewatch.org/media/4639/wk_13482_2024_init.pdf" TargetMode="External"/><Relationship Id="rId14" Type="http://schemas.openxmlformats.org/officeDocument/2006/relationships/hyperlink" Target="https://www.statewatch.org/outsourcing-borders-monitoring-eu-externalisation-policy/document-archive/operational-coordination-mechanism-on-the-external-dimension-of-migration-mocadem/" TargetMode="External"/><Relationship Id="rId30" Type="http://schemas.openxmlformats.org/officeDocument/2006/relationships/hyperlink" Target="https://www.statewatch.org/media/4633/6_-project-fiche-cross-border-coop-noa__redacted.pdf" TargetMode="External"/><Relationship Id="rId35" Type="http://schemas.openxmlformats.org/officeDocument/2006/relationships/hyperlink" Target="https://www.statewatch.org/media/4632/2b_ge-state-of-play-as-of-25-january-2023-intpa-fpi-near_redacted.pdf" TargetMode="External"/><Relationship Id="rId56" Type="http://schemas.openxmlformats.org/officeDocument/2006/relationships/hyperlink" Target="https://www.statewatch.org/media/4629/c1_-morocco-algeria-libya-tunisia-and-ad3_im-2021_migration.pdf" TargetMode="External"/><Relationship Id="rId77" Type="http://schemas.openxmlformats.org/officeDocument/2006/relationships/hyperlink" Target="https://www.statewatch.org/outsourcing-borders-monitoring-eu-externalisation-policy/document-archive/coordination-group-on-migration/" TargetMode="External"/><Relationship Id="rId100" Type="http://schemas.openxmlformats.org/officeDocument/2006/relationships/hyperlink" Target="https://prd.frontex.europa.eu/document/nigeria-working-arrangement/" TargetMode="External"/><Relationship Id="rId105" Type="http://schemas.openxmlformats.org/officeDocument/2006/relationships/hyperlink" Target="https://vbn.aau.dk/ws/files/422534559/QM0221358ENN.en.pdf" TargetMode="External"/><Relationship Id="rId126" Type="http://schemas.openxmlformats.org/officeDocument/2006/relationships/hyperlink" Target="https://files.returningfromgermany.de/files/EURP-Country-Information-Leaflet-THE-GAMBIA-updated-June-2024.pdf" TargetMode="External"/><Relationship Id="rId147" Type="http://schemas.openxmlformats.org/officeDocument/2006/relationships/hyperlink" Target="https://www.statewatch.org/media/4339/eu-imex-2024-03-12-2-more-effective-returns-system-discussion-paper-6936-24.pdf" TargetMode="External"/><Relationship Id="rId8" Type="http://schemas.openxmlformats.org/officeDocument/2006/relationships/image" Target="media/image2.png"/><Relationship Id="rId51" Type="http://schemas.openxmlformats.org/officeDocument/2006/relationships/hyperlink" Target="https://www.statewatch.org/outsourcing-borders-monitoring-eu-externalisation-policy/document-archive/coordination-group-on-migration/" TargetMode="External"/><Relationship Id="rId72" Type="http://schemas.openxmlformats.org/officeDocument/2006/relationships/hyperlink" Target="https://www.statewatch.org/outsourcing-borders-monitoring-eu-externalisation-policy/document-archive/coordination-group-on-migration/" TargetMode="External"/><Relationship Id="rId93" Type="http://schemas.openxmlformats.org/officeDocument/2006/relationships/hyperlink" Target="https://onlinelibrary.wiley.com/doi/full/10.1111/anti.12420" TargetMode="External"/><Relationship Id="rId98" Type="http://schemas.openxmlformats.org/officeDocument/2006/relationships/hyperlink" Target="https://www.frontex.europa.eu/media-centre/news/news-release/eight-afic-risk-analysis-cells-set-a-benchmark-in-africa-uwxHJU" TargetMode="External"/><Relationship Id="rId121" Type="http://schemas.openxmlformats.org/officeDocument/2006/relationships/hyperlink" Target="https://www.statewatch.org/analyses/2022/frontex-the-ongoing-failure-to-implement-human-rights-safeguards/" TargetMode="External"/><Relationship Id="rId142" Type="http://schemas.openxmlformats.org/officeDocument/2006/relationships/hyperlink" Target="https://www.statewatch.org/media/4587/eu-council-imex-2024-07-24-returns-system-12149-24.pdf" TargetMode="External"/><Relationship Id="rId3" Type="http://schemas.openxmlformats.org/officeDocument/2006/relationships/settings" Target="settings.xml"/><Relationship Id="rId25" Type="http://schemas.openxmlformats.org/officeDocument/2006/relationships/hyperlink" Target="https://www.statewatch.org/media/4635/8_-project-fiche-police-coop-noa__redacted.pdf" TargetMode="External"/><Relationship Id="rId46" Type="http://schemas.openxmlformats.org/officeDocument/2006/relationships/hyperlink" Target="https://www.statewatch.org/media/4626/c4_-libya-and-tunisia-ad2_im-2021_migration.pdf" TargetMode="External"/><Relationship Id="rId67" Type="http://schemas.openxmlformats.org/officeDocument/2006/relationships/hyperlink" Target="https://www.statewatch.org/outsourcing-borders-monitoring-eu-externalisation-policy/document-archive/coordination-group-on-migration/" TargetMode="External"/><Relationship Id="rId116" Type="http://schemas.openxmlformats.org/officeDocument/2006/relationships/hyperlink" Target="https://standard.gm/eu-gambia-good-practices-document/" TargetMode="External"/><Relationship Id="rId137" Type="http://schemas.openxmlformats.org/officeDocument/2006/relationships/hyperlink" Target="https://www.irara.org/wp-content/uploads/Reintegration-Programme-Leaflet-Nigeria.pdf" TargetMode="External"/><Relationship Id="rId20" Type="http://schemas.openxmlformats.org/officeDocument/2006/relationships/hyperlink" Target="https://www.statewatch.org/outsourcing-borders-monitoring-eu-externalisation-policy/document-archive/working-party-on-integration-migration-and-expulsion/" TargetMode="External"/><Relationship Id="rId41" Type="http://schemas.openxmlformats.org/officeDocument/2006/relationships/hyperlink" Target="https://www.statewatch.org/media/4631/wk16046-pa-en22-pa.pdf" TargetMode="External"/><Relationship Id="rId62" Type="http://schemas.openxmlformats.org/officeDocument/2006/relationships/hyperlink" Target="https://www.statewatch.org/outsourcing-borders-monitoring-eu-externalisation-policy/document-archive/external-aspects-of-migration-working-party/" TargetMode="External"/><Relationship Id="rId83" Type="http://schemas.openxmlformats.org/officeDocument/2006/relationships/hyperlink" Target="https://www.statewatch.org/media/4625/cgm-ndici-ge-tor.pdf" TargetMode="External"/><Relationship Id="rId88" Type="http://schemas.openxmlformats.org/officeDocument/2006/relationships/hyperlink" Target="https://academic.oup.com/jrs/article/36/3/337/6887248" TargetMode="External"/><Relationship Id="rId111" Type="http://schemas.openxmlformats.org/officeDocument/2006/relationships/hyperlink" Target="https://www.statewatch.org/media/4270/eu-scifa-2024-02-20-annex-to-commision-report-frontex-evaluation-add-2.pdf" TargetMode="External"/><Relationship Id="rId132" Type="http://schemas.openxmlformats.org/officeDocument/2006/relationships/hyperlink" Target="https://academic.oup.com/jrs/article-abstract/36/3/337/6887248" TargetMode="External"/><Relationship Id="rId153" Type="http://schemas.openxmlformats.org/officeDocument/2006/relationships/hyperlink" Target="https://eur-lex.europa.eu/EN/legal-content/glossary/coreper.html" TargetMode="External"/><Relationship Id="rId15" Type="http://schemas.openxmlformats.org/officeDocument/2006/relationships/hyperlink" Target="https://www.statewatch.org/outsourcing-borders-monitoring-eu-externalisation-policy/document-archive/operational-coordination-mechanism-on-the-external-dimension-of-migration-mocadem/" TargetMode="External"/><Relationship Id="rId36" Type="http://schemas.openxmlformats.org/officeDocument/2006/relationships/hyperlink" Target="https://www.statewatch.org/media/4632/2b_ge-state-of-play-as-of-25-january-2023-intpa-fpi-near_redacted.pdf" TargetMode="External"/><Relationship Id="rId57" Type="http://schemas.openxmlformats.org/officeDocument/2006/relationships/hyperlink" Target="https://www.statewatch.org/media/4629/c1_-morocco-algeria-libya-tunisia-and-ad3_im-2021_migration.pdf" TargetMode="External"/><Relationship Id="rId106" Type="http://schemas.openxmlformats.org/officeDocument/2006/relationships/hyperlink" Target="https://vbn.aau.dk/ws/files/422534559/QM0221358ENN.en.pdf" TargetMode="External"/><Relationship Id="rId127" Type="http://schemas.openxmlformats.org/officeDocument/2006/relationships/hyperlink" Target="https://libstore.ugent.be/fulltxt/RUG01/003/012/358/RUG01-003012358_2021_0001_AC.pdf" TargetMode="External"/><Relationship Id="rId10" Type="http://schemas.openxmlformats.org/officeDocument/2006/relationships/hyperlink" Target="https://www.statewatch.org/media/4632/2b_ge-state-of-play-as-of-25-january-2023-intpa-fpi-near_redacted.pdf" TargetMode="External"/><Relationship Id="rId31" Type="http://schemas.openxmlformats.org/officeDocument/2006/relationships/hyperlink" Target="https://www.statewatch.org/outsourcing-borders-monitoring-eu-externalisation-policy/document-archive/coordination-group-on-migration/" TargetMode="External"/><Relationship Id="rId52" Type="http://schemas.openxmlformats.org/officeDocument/2006/relationships/hyperlink" Target="https://www.statewatch.org/media/4629/c1_-morocco-algeria-libya-tunisia-and-ad3_im-2021_migration.pdf" TargetMode="External"/><Relationship Id="rId73" Type="http://schemas.openxmlformats.org/officeDocument/2006/relationships/hyperlink" Target="https://www.statewatch.org/media/4628/c3_-libya-ad1_im-2021_migration.pdf" TargetMode="External"/><Relationship Id="rId78" Type="http://schemas.openxmlformats.org/officeDocument/2006/relationships/hyperlink" Target="https://www.statewatch.org/media/4631/wk16046-pa-en22-pa.pdf" TargetMode="External"/><Relationship Id="rId94" Type="http://schemas.openxmlformats.org/officeDocument/2006/relationships/hyperlink" Target="https://www.statewatch.org/media/4334/eu-frontex-presentation-returns-reintegration-wk-00672-24-censored.pdf" TargetMode="External"/><Relationship Id="rId99" Type="http://schemas.openxmlformats.org/officeDocument/2006/relationships/hyperlink" Target="https://www.euractiv.com/section/global-europe/news/niger-ends-security-and-defence-partnerships-with-the-eu/" TargetMode="External"/><Relationship Id="rId101" Type="http://schemas.openxmlformats.org/officeDocument/2006/relationships/hyperlink" Target="https://prd.frontex.europa.eu/document/cape-verde-working-arrangement/" TargetMode="External"/><Relationship Id="rId122" Type="http://schemas.openxmlformats.org/officeDocument/2006/relationships/hyperlink" Target="https://www.statewatch.org/analyses/2022/frontex-the-ongoing-failure-to-implement-human-rights-safeguards/" TargetMode="External"/><Relationship Id="rId143" Type="http://schemas.openxmlformats.org/officeDocument/2006/relationships/hyperlink" Target="https://eur-lex.europa.eu/eli/reg/2024/1349" TargetMode="External"/><Relationship Id="rId148" Type="http://schemas.openxmlformats.org/officeDocument/2006/relationships/hyperlink" Target="https://altreconomia.it/rinchiusi-e-sedati-labuso-quotidiano-di-psicofarmaci-nei-cpr-italiani/" TargetMode="External"/><Relationship Id="rId4" Type="http://schemas.openxmlformats.org/officeDocument/2006/relationships/webSettings" Target="webSettings.xml"/><Relationship Id="rId9" Type="http://schemas.openxmlformats.org/officeDocument/2006/relationships/footer" Target="footer1.xml"/><Relationship Id="rId26" Type="http://schemas.openxmlformats.org/officeDocument/2006/relationships/hyperlink" Target="https://www.statewatch.org/media/4635/8_-project-fiche-police-coop-noa__redacted.pdf" TargetMode="External"/><Relationship Id="rId47" Type="http://schemas.openxmlformats.org/officeDocument/2006/relationships/hyperlink" Target="https://www.statewatch.org/media/4626/c4_-libya-and-tunisia-ad2_im-2021_migration.pdf" TargetMode="External"/><Relationship Id="rId68" Type="http://schemas.openxmlformats.org/officeDocument/2006/relationships/hyperlink" Target="https://www.statewatch.org/media/4634/7_-project-fiche-egy-protection__redacted.pdf" TargetMode="External"/><Relationship Id="rId89" Type="http://schemas.openxmlformats.org/officeDocument/2006/relationships/hyperlink" Target="https://academic.oup.com/jrs/article/36/3/337/6887248" TargetMode="External"/><Relationship Id="rId112" Type="http://schemas.openxmlformats.org/officeDocument/2006/relationships/hyperlink" Target="https://www.statewatch.org/media/4425/eu-imex-voluntary-return-reintegration-8752-24.pdf" TargetMode="External"/><Relationship Id="rId133" Type="http://schemas.openxmlformats.org/officeDocument/2006/relationships/hyperlink" Target="https://www.tandfonline.com/doi/abs/10.1080/1369183X.2023.2206001" TargetMode="External"/><Relationship Id="rId154" Type="http://schemas.openxmlformats.org/officeDocument/2006/relationships/hyperlink" Target="https://eur-lex.europa.eu/EN/legal-content/glossary/coreper.html" TargetMode="External"/><Relationship Id="rId16" Type="http://schemas.openxmlformats.org/officeDocument/2006/relationships/hyperlink" Target="https://www.statewatch.org/analyses/2024/migration-policy-priorities-of-the-next-european-commission-a-jargon-free-translation/" TargetMode="External"/><Relationship Id="rId37" Type="http://schemas.openxmlformats.org/officeDocument/2006/relationships/hyperlink" Target="https://www.statewatch.org/media/4632/2b_ge-state-of-play-as-of-25-january-2023-intpa-fpi-near_redacted.pdf" TargetMode="External"/><Relationship Id="rId58" Type="http://schemas.openxmlformats.org/officeDocument/2006/relationships/hyperlink" Target="https://www.statewatch.org/outsourcing-borders-monitoring-eu-externalisation-policy/document-archive/coordination-group-on-migration/" TargetMode="External"/><Relationship Id="rId79" Type="http://schemas.openxmlformats.org/officeDocument/2006/relationships/hyperlink" Target="https://www.statewatch.org/media/4631/wk16046-pa-en22-pa.pdf" TargetMode="External"/><Relationship Id="rId102" Type="http://schemas.openxmlformats.org/officeDocument/2006/relationships/hyperlink" Target="https://prd.frontex.europa.eu/document/working-arrangement-between-the-european-border-and-coast-guard-agency-frontex-and-the-european-union-capacity-building-mission-in-niger-eucap-sahel-niger/" TargetMode="External"/><Relationship Id="rId123" Type="http://schemas.openxmlformats.org/officeDocument/2006/relationships/hyperlink" Target="https://www.statewatch.org/analyses/2022/frontex-the-ongoing-failure-to-implement-human-rights-safeguards/" TargetMode="External"/><Relationship Id="rId144" Type="http://schemas.openxmlformats.org/officeDocument/2006/relationships/hyperlink" Target="https://eur-lex.europa.eu/eli/reg/2024/1349" TargetMode="External"/><Relationship Id="rId90" Type="http://schemas.openxmlformats.org/officeDocument/2006/relationships/hyperlink" Target="https://onlinelibrary.wiley.com/doi/full/10.1111/anti.12420" TargetMode="External"/><Relationship Id="rId27" Type="http://schemas.openxmlformats.org/officeDocument/2006/relationships/hyperlink" Target="https://www.statewatch.org/media/4635/8_-project-fiche-police-coop-noa__redacted.pdf" TargetMode="External"/><Relationship Id="rId48" Type="http://schemas.openxmlformats.org/officeDocument/2006/relationships/hyperlink" Target="https://www.statewatch.org/outsourcing-borders-monitoring-eu-externalisation-policy/document-archive/coordination-group-on-migration/" TargetMode="External"/><Relationship Id="rId69" Type="http://schemas.openxmlformats.org/officeDocument/2006/relationships/hyperlink" Target="https://www.statewatch.org/media/4634/7_-project-fiche-egy-protection__redacted.pdf" TargetMode="External"/><Relationship Id="rId113" Type="http://schemas.openxmlformats.org/officeDocument/2006/relationships/hyperlink" Target="https://www.statewatch.org/media/4270/eu-scifa-2024-02-20-annex-to-commision-report-frontex-evaluation-add-2.pdf" TargetMode="External"/><Relationship Id="rId134" Type="http://schemas.openxmlformats.org/officeDocument/2006/relationships/hyperlink" Target="https://prd.frontex.europa.eu/document/nigeria-working-arran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10775</Words>
  <Characters>61424</Characters>
  <Application>Microsoft Office Word</Application>
  <DocSecurity>0</DocSecurity>
  <Lines>511</Lines>
  <Paragraphs>144</Paragraphs>
  <ScaleCrop>false</ScaleCrop>
  <HeadingPairs>
    <vt:vector size="2" baseType="variant">
      <vt:variant>
        <vt:lpstr>Titre</vt:lpstr>
      </vt:variant>
      <vt:variant>
        <vt:i4>1</vt:i4>
      </vt:variant>
    </vt:vector>
  </HeadingPairs>
  <TitlesOfParts>
    <vt:vector size="1" baseType="lpstr">
      <vt:lpstr/>
    </vt:vector>
  </TitlesOfParts>
  <Company>Misereor e.V.</Company>
  <LinksUpToDate>false</LinksUpToDate>
  <CharactersWithSpaces>72055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GrÃ¼newald, Andreas</dc:creator>
  <cp:keywords>, docId:A7E4C04741FC8C85C85F63D6F48D1924</cp:keywords>
  <dc:description/>
  <cp:lastModifiedBy>Leonie Jegen</cp:lastModifiedBy>
  <cp:revision>2</cp:revision>
  <dcterms:created xsi:type="dcterms:W3CDTF">2025-03-19T12:00:00Z</dcterms:created>
  <dcterms:modified xsi:type="dcterms:W3CDTF">2025-03-19T12:00:00Z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2024-11-25T00:00:00Z</vt:filetime>
  </property>
  <property fmtid="{D5CDD505-2E9C-101B-9397-08002B2CF9AE}" pid="3" name="Creator">
    <vt:lpwstr>Acrobat PDFMaker 20 for Word</vt:lpwstr>
  </property>
  <property fmtid="{D5CDD505-2E9C-101B-9397-08002B2CF9AE}" pid="4" name="LastSaved">
    <vt:filetime>2024-12-02T00:00:00Z</vt:filetime>
  </property>
  <property fmtid="{D5CDD505-2E9C-101B-9397-08002B2CF9AE}" pid="5" name="Producer">
    <vt:lpwstr>Adobe PDF Library 20.5.10</vt:lpwstr>
  </property>
  <property fmtid="{D5CDD505-2E9C-101B-9397-08002B2CF9AE}" pid="6" name="SourceModified">
    <vt:lpwstr>D:20241125110536</vt:lpwstr>
  </property>
  <property fmtid="{D5CDD505-2E9C-101B-9397-08002B2CF9AE}" pid="7" name="ZOTERO_PREF_1">
    <vt:lpwstr>&lt;data data-version="3" zotero-version="6.0.30"&gt;&lt;session id="FzGd63oA"/&gt;&lt;style id="" hasBibliography="0" bibliographyStyleHasBeenSet="0"/&gt;&lt;prefs/&gt;&lt;/data&gt;</vt:lpwstr>
  </property>
</Properties>
</file>