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الاستعانة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بمصادر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خارجية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لمراقبة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الحدود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رصد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الخارجية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النشرة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4، 25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نوفمبر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الكوكب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للجميع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والحدود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ليست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لأحد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فالأمر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كله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يتعلق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بالحرية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بنيامين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زيفانيا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المحتويات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الافتتاحية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السياسة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والتعبيرات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الملطفة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والسرية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........................................................................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التطورات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الموضوعية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والإقليمية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.........................................................................................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................................................................................................................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الميزانيات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والتمويل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........................................................................................................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القبول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.....................................................................................................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شراكات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............................................................................................................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......................................................................................................................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المتزايد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لوكالة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وتأثيراتها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غرب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أفريقيا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...............................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عندما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ينطوي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الحزم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الفعالية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العنف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والإساءة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....................................................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النشرة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......................................................................................................... 20</w:t>
      </w:r>
    </w:p>
    <w:p w:rsidR="00000000" w:rsidDel="00000000" w:rsidP="00000000" w:rsidRDefault="00000000" w:rsidRPr="00000000" w14:paraId="00000013">
      <w:pPr>
        <w:bidi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الافتتاحية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عودة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السياسات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والتعبيرات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الملطفة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السرية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كلمة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؟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كلمة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تصفها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الأكاديمية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كلارا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ليكاديت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بأنها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تعبير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ملطف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العنف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المتأصل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الطرد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والذي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يمحو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تعقيد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رحلات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نادر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الطرد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مرادف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وعلاوة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يجعل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جزء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يتجزأ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ونظرا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فإننا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نعتبر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كلمة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كلمة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تجسد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القوة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والعنف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المتضمنين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العملية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ملاءمة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وكما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يوضح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أحد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التحليلين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النشرة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مرادفة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بالفعل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للعنف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والأذى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المستغرب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الرسمية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تأخذ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الاعتبار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وتشير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فحصها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التحليل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المراجعة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القادمة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لقانون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المرجح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تدابير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صرامة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وقسوة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ضرر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الخطاب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الرسمي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غالب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فترض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تتبعها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فترض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يقبل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أولئك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ردوا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أوروبا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وضعهم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ويستقروا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يسعون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مغادرة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بلادهم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الأقل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ليس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نحو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أوروبا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الكلمة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تعبير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ملطف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تفترض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الأفراد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المرحلين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كانوا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مندمجين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بطريقة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معينة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الأمر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الإطلاق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البلد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ردوا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إليه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موضوع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آخر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الطبعة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متزايد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تشير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الأدلة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نيجيريا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وغامبيا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المرجح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يؤدي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تفاقم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المشاكل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القائمة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رحلين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الكافي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تقدمه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مربكة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الوكالات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والمزودين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التساؤلات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الوطنية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والسيطرة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الديمقراطية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مبالغ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كبيرة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الاموال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تنفق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20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مليون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يورو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لـ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المستدام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للأشخاص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المرحلين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بنغلاديش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نفس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المبلغ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لمشروع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مماثل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العراق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أفريقيا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جنوب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الصحراء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الكبرى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113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مليون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يورو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لمشروع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مشترك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والمنظمة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180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مليون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يورو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لمشروع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آخر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المستدام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تأتي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الأرقام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إحدى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ننشرها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النشرة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CGM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هيئة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تنسق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إنفاقها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الخارجية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إنشاء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أواخر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2021،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ممثلين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رفيعي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المستوى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لمناقشة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الجارية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المقترحة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أنحاء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العالم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إيجاد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مكملين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مؤازرين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والإجراءات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الوطنية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للوهلة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يبدو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مفيد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يفيد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شخص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عندما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تهدر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الحكومات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الأموال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طريق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تكرار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أنشطة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بعضها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البعض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الجماعي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فعالية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ولكن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الفوائد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السطحية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تفوقها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مشكلة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جوهرية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الغرض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الإنفاق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توسيع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وترسيخ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الضارة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ومراقبة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وعلاوة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المساعدات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الإنمائية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ــ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كميات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هائلة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ــ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تستخدم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الغرض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تناقشها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المشتركة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للمفوضية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ممولة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المقام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ميزانيات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ــ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يعني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بالنسبة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أداة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الجوار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والتنمية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والتعاون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NDICI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المفترض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يستخدم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يصل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10%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الميزانية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البالغة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80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مليار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يورو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تتعلق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يقوض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غرض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المساعدات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الإنمائية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وبدلا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تطبيع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لابد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معارضتها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وبالطبع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تصبح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المعارضة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صعوبة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عندما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تجري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المناقشات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واتخاذ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القرارات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المشتركة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للمفوضية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خاصة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رسمية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يعني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تخضع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لنفس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قواعد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الشفافية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تخضع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الخبراء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والاستشاريين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اعتبار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الخاصة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الرسمية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تعبيرا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ملطفا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بحد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ذاته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التكتم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يعني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إشارات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قليلة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CGM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توجد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مغزى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وبقدر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نعلم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نحن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منظمة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تنشر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جوهرية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أنتجتها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ناقشتها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حتى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محدودة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ويرجع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2022.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رفض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الوصول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الوثائق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الأحدث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أساس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القرارات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المشاريع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تفصلها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rtl w:val="1"/>
        </w:rPr>
        <w:t xml:space="preserve">تخذ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تبرير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الرفض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والتحرير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الأخرى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أساس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حماية</w:t>
      </w:r>
      <w:r w:rsidDel="00000000" w:rsidR="00000000" w:rsidRPr="00000000">
        <w:rPr>
          <w:rFonts w:ascii="Arial" w:cs="Arial" w:eastAsia="Arial" w:hAnsi="Arial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rtl w:val="1"/>
        </w:rPr>
        <w:t xml:space="preserve">الأمن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rtl w:val="1"/>
        </w:rPr>
        <w:t xml:space="preserve">والعلاقات</w:t>
      </w:r>
      <w:r w:rsidDel="00000000" w:rsidR="00000000" w:rsidRPr="00000000">
        <w:rPr>
          <w:rFonts w:ascii="Arial" w:cs="Arial" w:eastAsia="Arial" w:hAnsi="Arial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الدولية</w:t>
      </w:r>
      <w:r w:rsidDel="00000000" w:rsidR="00000000" w:rsidRPr="00000000">
        <w:rPr>
          <w:rFonts w:ascii="Arial" w:cs="Arial" w:eastAsia="Arial" w:hAnsi="Arial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موضع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اهتمام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شخص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يسعى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التحقيق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المزيد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ترسيخ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أجندة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مراقبة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الخارجية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وتوفير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والأولويات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والمؤشرات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المفيدة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لمزيد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التحقيق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جانبنا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سنواصل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السعي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للوصول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المزيد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أنتجتها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CGM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وغيرها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الكيانات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MOCADEM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وبالمثل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سنستمر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الحصول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ونشر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هيئات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تشكيل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لجنة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جديدة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لتسريع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أجندة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التخارج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إيجاد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السبل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لكشفها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وتحديها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أصبح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أهمية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وقت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مضى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كريس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جونز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ستيت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واتش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رقابة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التطورات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الموضوعية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والإقليمية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تتعلق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أغلب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المنشورة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النشرة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ويبدو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2022.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ورغم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نظرة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ثاقبة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للتطورات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الأخيرة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مفيدة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وأنواع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مناقشتها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والكميات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الهائلة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مساعدات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إنفاقها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الموجهة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بطريقة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للسيطرة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الخارجية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نقوم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بنشر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عرض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تقديمي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المخاطر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الجوية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والذي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يوضح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كيف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نظر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طالبي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اللجوء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خطر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وعرض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تقديمي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آخر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تعاونها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2023.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ونحن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ننتظر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طلبات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الحصول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وسننشر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الموجودة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أرشيف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فور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وصولها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الملخصة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هنا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المنشورة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الإصدارات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السابقة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النشرة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موجودة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أرشيف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لدينا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والذي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يحتوي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أقسام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المجلس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الجوانب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الخارجية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EMWP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مجلس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العدل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والشؤون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الداخلية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الآلية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التشغيلية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للبعد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الخارجي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MOCADEM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اللجنة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الاستراتيجية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واللجوء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SCIFA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التأشيرات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التكامل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والطرد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IMEX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المحتويات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الميزانيات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والتمويل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القبول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شراكات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أخرى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الحدود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rPr/>
      </w:pP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المخاطر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الجوية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عرض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تقديمي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يوضح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أهداف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المخاطر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الجوية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يلاحظ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شبكة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مخاطر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الجوية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تنتج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تحديثات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أسبوعية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رفض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الدخول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وطلبات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اللجوء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الإقامة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القانونية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المتجاوزين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وفئات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المعلومات</w:t>
      </w:r>
    </w:p>
    <w:p w:rsidR="00000000" w:rsidDel="00000000" w:rsidP="00000000" w:rsidRDefault="00000000" w:rsidRPr="00000000" w14:paraId="0000005E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تتضمن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أرقام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الأفراد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جنسيات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معينة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تقدموا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بطلبات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اللجوء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مطارات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وبالتالي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وضع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طالبي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اللجوء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باعتبارهم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خطر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يتطلب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التحليل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والتدخل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بالتكامل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والطرد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29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أكتوبر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WK 13482/2024 INIT</w:t>
      </w:r>
    </w:p>
    <w:p w:rsidR="00000000" w:rsidDel="00000000" w:rsidP="00000000" w:rsidRDefault="00000000" w:rsidRPr="00000000" w14:paraId="00000064">
      <w:pPr>
        <w:bidi w:val="1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تعزيز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القدرة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التشغيلية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للبحرية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المصرية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وحرس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تدفقات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وتوفير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والإنقاذ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البحر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المعابر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النظامية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المصريين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والمهاجرين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جنسيات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يعيشون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يعبرون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مصر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تشمل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أصحاب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المصلحة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الدفاع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المصرية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وغيرها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الجهات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حظر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أسمائها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معروف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بالهجرة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بدون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صدر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أكتوبر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تعزيز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التعاون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الدولي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ضد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تهريب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المهاجرين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والاتجار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بالبشر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شمال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أفريقيا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أفريقيا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تعزيز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أجهزة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إنفاذ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القانون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أنحاء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شمال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إفريقيا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للتحقيق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فعال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وملاحقة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الجريمة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المنظمة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تشارك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تهريب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المهاجرين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والاتجار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بالبشر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حسب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الاقتضاء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قوات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الشرطة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وتبادل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وتحليل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واستخدام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الشرطة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إجراء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شرطية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مستهدفة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تعاونية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يتوقع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تعاون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محتمل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الإنتربول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ووكالات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العدل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والشؤون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الداخلية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معروف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1"/>
        </w:rPr>
        <w:t xml:space="preserve">الهجرة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بدون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صدر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أكتوبر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بطاقة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دعم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التعاون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عبر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والإدارة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المتكاملة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للحدود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شمال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1"/>
        </w:rPr>
        <w:t xml:space="preserve">إفريقيا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مقترح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مقره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شمال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إفريقيا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ذكر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موقع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يحاول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معالجة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الجريمة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المنظمة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المتورطة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تهريب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المهاجرين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والاتجار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بالبشر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الميزانية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خاضعة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للرقابة</w:t>
      </w:r>
    </w:p>
    <w:p w:rsidR="00000000" w:rsidDel="00000000" w:rsidP="00000000" w:rsidRDefault="00000000" w:rsidRPr="00000000" w14:paraId="00000077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جزء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مبادرة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أوروبا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لطريق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وسط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البحر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الأبيض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المتوسط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​​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ومبادرة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أوروبا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لطريق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غرب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البحر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الأبيض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المتوسط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​​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والمحيط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الأطلسي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معروف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تنسيق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الهجرة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بدون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صدر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أكتوبر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ليبيا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وتونس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وثيقة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دعم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لمؤسسات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ليبيا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وتونس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"</w:t>
      </w:r>
    </w:p>
    <w:p w:rsidR="00000000" w:rsidDel="00000000" w:rsidP="00000000" w:rsidRDefault="00000000" w:rsidRPr="00000000" w14:paraId="0000007D">
      <w:pPr>
        <w:bidi w:val="1"/>
        <w:rPr/>
      </w:pP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وثيقة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يقترح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45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مليون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يورو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لمراكز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الإنقاذ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البحري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ومراقبة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وتدريب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خفر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السواحل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ليبيا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وتونس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إنساني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للبحث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والإنقاذ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الرغم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الاستقرار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السياسي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والمخاطر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المحتملة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لـ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الظروف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الأمنية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الحرجة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المشروع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يؤكد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المغادرة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وزيادة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الفني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وبرامج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التدريب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تخصيص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ملايين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يورو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وجه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التحديد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لاستكمال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المراقبة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الساحلية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تونس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إنشاء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مركز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الإنقاذ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البحري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وأكاديمية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تدريب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حرس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ليبيا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وتمويل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توسيع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الدوريات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الساحلية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التونسية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بأكاديمية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تدريب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والحفاظ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إجراءات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التكميلية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المؤلف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المفوضية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5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يوليو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الميزانيات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والتمويل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قائمة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المشاريع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قدمتها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FPI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INTPA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NEAR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تنسيق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اجتماعاتها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3.12.2021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17.02.2022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01.04.2022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17.06.2022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19.10.2022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16.11.2022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24.11.2022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25.01.2023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قائمة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تستخدم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مساعدات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لتحقيق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أهداف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مقسمة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حسب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المنطقة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الجغرافية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الأمريكتان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وآسيا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وأفريقيا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جنوب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الصحراء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الكبرى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وشمال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أفريقيا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وأوروبا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الشرقية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وشرق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البحر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الأبيض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المتوسط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​​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العالم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تستفيد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مؤشر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مناقشته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مذكرة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منفصلة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مقرر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توسيعه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وتحسينه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تدريجي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يشير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إصدارات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لاحقة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بدون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إصدارها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أكتوبر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2024</w:t>
      </w:r>
    </w:p>
    <w:p w:rsidR="00000000" w:rsidDel="00000000" w:rsidP="00000000" w:rsidRDefault="00000000" w:rsidRPr="00000000" w14:paraId="00000091">
      <w:pPr>
        <w:bidi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rPr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ملاحظة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كبار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المسؤولين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ورؤساء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الوفود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INTPA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و</w:t>
      </w:r>
      <w:r w:rsidDel="00000000" w:rsidR="00000000" w:rsidRPr="00000000">
        <w:rPr>
          <w:b w:val="1"/>
          <w:u w:val="single"/>
          <w:rtl w:val="0"/>
        </w:rPr>
        <w:t xml:space="preserve">FPI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و</w:t>
      </w:r>
      <w:r w:rsidDel="00000000" w:rsidR="00000000" w:rsidRPr="00000000">
        <w:rPr>
          <w:b w:val="1"/>
          <w:u w:val="single"/>
          <w:rtl w:val="0"/>
        </w:rPr>
        <w:t xml:space="preserve">NEAR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مذكرة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إرشادية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مؤشر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NDICI-Global Europe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مذكرة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إرشادية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تحدد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قواعد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تتبع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إنفاق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الإجراءات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المتعلقة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بلدان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ثالثة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استجابة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لمتطلب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تخصيص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أداة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تمويل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NDICI-Global Europe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أداة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تمويل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المساعدات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الإنمائية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والتعاون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الخارجي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للفترة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2021-2027)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تخصص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10%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أموالها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للإجراءات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الداعمة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لإدارة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وحوكمة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والنزوح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القسري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تلاحظ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الممولة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NDICI-GE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حسب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نحو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الإنفاق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تعالج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الأسباب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الجذرية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النظامية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والنزوح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القسري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ولكن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فقط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عندما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تستهدف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مباشر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تحديات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محددة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تتعلق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والنزوح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القسري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تعليمات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تصميم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بتلبية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الإنفاق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تحلل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وضع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البلد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تنفيذ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الإجراء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وتستهدف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مباشر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تحديات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وترصد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النتائج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المتعلقة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وتقدم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تقارير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عنها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ومسؤولي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أغسطس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Intpa.g.6 (2021)6244514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المناقشات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عقدت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الاجتماعات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الرابعة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والسادسة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والسابعة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لمجموعة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تنسيق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الآلية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المرنة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للهجرة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والنزوح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القسري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17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يونيو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16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نوفمبر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24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نوفمبر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التوالي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</w:p>
    <w:p w:rsidR="00000000" w:rsidDel="00000000" w:rsidP="00000000" w:rsidRDefault="00000000" w:rsidRPr="00000000" w14:paraId="0000009D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الآلية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المجازة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للهجرة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الشرعية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يحدد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الممولة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أداة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تمويل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جديدة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بقيمة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مليون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يورو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الآلية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المرنة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بموجب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مبادرة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NDICI-Global Europe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تعظيم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نفوذ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وتحفيز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تعاون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الشريكة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إفريقيا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جنوب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الصحراء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الكبرى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السيطرة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وافقت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الآلية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تمويل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النيجر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(13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مليون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يورو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شرطة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نيجيريا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معركتها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ضد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الشبكات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الاجرامية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ملاحظات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مناقشة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وردود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الفعل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واستجاباتها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سبيل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المثال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تساءلت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فرنسا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وهولندا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وإسبانيا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ينبغي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تمويل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النزوح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القسري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أوغندا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الآلية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بدلا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الأدوات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المخصصة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للنزوح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عليها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CGM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استقرار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المنطقة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أهمية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استراتيجية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المؤلف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أمانة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</w:p>
    <w:p w:rsidR="00000000" w:rsidDel="00000000" w:rsidP="00000000" w:rsidRDefault="00000000" w:rsidRPr="00000000" w14:paraId="000000A1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13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ديسمبر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القبول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دعم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الحماية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والتكامل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الاقتصادي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والاجتماعي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للعائدين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التونسيين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والسكان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النازحين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والمجتمعات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المضيفة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تونس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والمغرب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تحسين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الوصول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الحماية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والتكامل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الاقتصادي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والاجتماعي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للتونسيين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العائدين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والسكان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النازحين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والمجتمعات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المضيفة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تونس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والمغرب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تشير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الضروري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محلية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للشباب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التونسي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أجل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الحصول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وجهات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نظر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وجهة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المغادرة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للنجاح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ولكن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نفس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الوقت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لتعزيز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آلية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الميزانية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المقترحة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خاضعة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للرقابة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معروف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بدون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صدر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أكتوبر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2024</w:t>
      </w:r>
    </w:p>
    <w:p w:rsidR="00000000" w:rsidDel="00000000" w:rsidP="00000000" w:rsidRDefault="00000000" w:rsidRPr="00000000" w14:paraId="000000AE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وثيقة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المغرب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والجزائر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وليبيا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وتونس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ومصر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وثيقة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دعم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الحماية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المستدامة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والعودة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شمال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إفريقيا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يقترح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مدته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سنوات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بقيمة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60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مليون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يورو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يبدأ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الشريكة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شمال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إفريقيا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المهاجرين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العالقين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المحتجزين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بلدانهم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الأصلية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المستدام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للعائدين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منطقة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شمال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إفريقيا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يؤطر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الإجراء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باعتباره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الطوعية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بـ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الافتقار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العاجل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الحماية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الفعالة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والمساعدة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الكافية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يواجهها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المهاجرون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المنطقة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وخاصة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ليبيا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القنوات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المحدودة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القانونية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الإجراء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تعزيز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الشريكة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المهاجرين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بلدانهم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الأصلية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وزيادة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ملكية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الشريكة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العملية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وتدفقات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للاستخدام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المستقبلي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يتداخل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الإجراء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المتشابكة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الموجودة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المنطقة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المنظمة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والمركز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لتطوير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والمجتمع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المدني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والمزيد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ويعمل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بالتعاون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ويقر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القصور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البرامج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مشكلة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يأمل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الإجراء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حلها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المؤلف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المفوضية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ديسمبر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2021</w:t>
      </w:r>
    </w:p>
    <w:p w:rsidR="00000000" w:rsidDel="00000000" w:rsidP="00000000" w:rsidRDefault="00000000" w:rsidRPr="00000000" w14:paraId="000000BB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شراكات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الهجرة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دعم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للهجرة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القانونية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والتنقل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وشراكات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المهارات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دول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شمال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أفريقيا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البناء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THAMM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ولكن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سيركز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قطاع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رأس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البشري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وسيعزز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مشاركة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أقوى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للقطاع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؛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سوف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تنشئ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آليات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أقوى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البلدان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الشريكة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لتعزيز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ملكية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السلطات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الوطنية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الميزانية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المقترحة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خاضعتان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للرقابة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معروف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بدون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صدر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أكتوبر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العرض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التقديمي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التعاون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ودول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ثالثة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يقدم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نظرة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2023،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النتائج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التشغيلية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الملموسة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وزيادة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تدعمها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بنسبة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60٪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كنتائج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رئيسية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تتمتع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تسبق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الانضمام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بـ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الأولوية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القصوى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الأبعاد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الخارجية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نشر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ضباط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اتصال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2023،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لتغطية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13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مختلفة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بالجوانب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الخارجية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للجوء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EMWP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20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سبتمبر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WK 11796/2024 INIT</w:t>
      </w:r>
    </w:p>
    <w:p w:rsidR="00000000" w:rsidDel="00000000" w:rsidP="00000000" w:rsidRDefault="00000000" w:rsidRPr="00000000" w14:paraId="000000D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التصنيف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محدود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الجزائر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ومصر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وليبيا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والمغرب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وتونس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،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نحو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نهج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شامل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لحوكمة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هجرة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العمالة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وتنقل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العمالة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شمال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إفريقيا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" (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THAMM III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يقترح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إجراء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بقيمة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ملايين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يورو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لتعزيز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مسارات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القانونية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المعتمدة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شمال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إفريقيا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التدريب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والتنقل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استمرار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التجريبية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والمراحل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السابقة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THAMM I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0"/>
        </w:rPr>
        <w:t xml:space="preserve">THAMM II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يناقش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استمرار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تسهيل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التعاون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شمال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إفريقيا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العمالة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والتنقل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التدريب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المهني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ومطابقة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المهارات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وبناء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المؤسسات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ستكون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مفيدة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متبادل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المجتمعات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وأسواق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أوروبا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مبادرات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THAMM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السابقة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يوجد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ذكر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لتخفيف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تأشيرات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فقط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ذكر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القنصليات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القانونية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")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تركز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الأنشطة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المقترحة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احتياجات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مؤسسات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سوق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وإنشاء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التدريب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المهني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التدريبات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وتشجيع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شراكات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التبادل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مؤسسات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وشمال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أفريقيا</w:t>
      </w:r>
    </w:p>
    <w:p w:rsidR="00000000" w:rsidDel="00000000" w:rsidP="00000000" w:rsidRDefault="00000000" w:rsidRPr="00000000" w14:paraId="000000D9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المؤلف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المفوضية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أغسطس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أخرى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تعزيز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حماية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ومرونة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اللاجئين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وطالبي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اللجوء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والمهاجرين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وضع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ضعيف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مصر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مصر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أجل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الأساسية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والوصول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الأساسية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وخاصة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الحماية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الصحية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والتعليمية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للقاصرين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المصحوبين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بذويهم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والشباب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الأسرة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وحماية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الطفل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الميزانية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المقترحة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خاضعتان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للرقابة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معروف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بدون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صدر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أكتوبر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ليبيا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،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حماية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ومرونة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المهاجرين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والنازحين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قسرا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والمجتمعات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المضيفة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ليبيا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وثيقة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عمل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يقترح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إجراء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بقيمة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55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مليون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يورو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تنفيذه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ليبيا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وشركاء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المنظمات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الحكومية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لزيادة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الحماية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والمساعدة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للنازحين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قسرا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التوظيف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والإجلاء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جانب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رفع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الوعي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بمخاطر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التهريب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والحماية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التهريب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تفاصيل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الظروف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المزرية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مرافق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الاحتجاز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الليبية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نقص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الغذاء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والمياه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والتهوية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والصرف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الصحي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والاكتظاظ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وغياب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الحارسات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يؤدي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ارتفاع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خطر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العنف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الجنسي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والوصول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للوكالات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الإنسانية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يتماشى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العهد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واللجوء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التركيز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الحماية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والمساعدة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الاعتراف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ليبيا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تظل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المركز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النظامية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أوروبا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طريق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وسط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البحر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الأبيض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المتوسط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المؤلف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المفوضية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أغسطس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بموجب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NDICI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أدوات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التعاون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الثنائي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لأوروبا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العالمية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والدول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رسالة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تأسيسية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وقواعد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إجراءات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رسالة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تأسيسية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قواعد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إجراءات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تنشئ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رسمية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</w:p>
    <w:p w:rsidR="00000000" w:rsidDel="00000000" w:rsidP="00000000" w:rsidRDefault="00000000" w:rsidRPr="00000000" w14:paraId="000000F0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لمفوضية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لتبادل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والآراء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لضمان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والترابط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أموال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NDICI - Global Europe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الإجراءات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المتعلقة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الخارجية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0F2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أهداف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ضمان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أقصى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التآزر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إجراءات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تجنب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تكرار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الجهود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تبادل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المخطط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بلدان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ثالثة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يوضح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اجتماعات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CGM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توفير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منتدى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لمناقشة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تنفيذ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المستقبلية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ومراقبة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التقدم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نحو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NDICI-GE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بإنفاق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10٪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ميزانية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والمساعدات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الخارجية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المتعلقة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وسيلة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لتقديم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تحديثات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للبرلمان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والمجلس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التقدم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الأمانة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للمجلس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بالتعاون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الإنمائي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والشراكات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21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نوفمبر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WK 16046/22</w:t>
      </w:r>
    </w:p>
    <w:p w:rsidR="00000000" w:rsidDel="00000000" w:rsidP="00000000" w:rsidRDefault="00000000" w:rsidRPr="00000000" w14:paraId="000000F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التصنيف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محدود</w:t>
      </w:r>
    </w:p>
    <w:p w:rsidR="00000000" w:rsidDel="00000000" w:rsidP="00000000" w:rsidRDefault="00000000" w:rsidRPr="00000000" w14:paraId="000000F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خاضع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للرقابة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نعم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بموجب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NDICI - Global Europe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ومبادرة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أدوات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التعاون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الثنائي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الشروط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المرجعية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خاصة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رسمية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أنشأتها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وتتكون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وخدمة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الخارجي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والسلطات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الغرض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تبادل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والآراء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لضمان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والتماسك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أموال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مبادرة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أوروبا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الموحدة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للشراكة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أجل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أوروبا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العالمية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الإجراءات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المتعلقة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الخارجية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وإجراءات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المتعلقة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ثلاثة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أنواع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البنود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النظر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للمناقشة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تبادل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الآراء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توجهات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التنفيذ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"؛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مناقشات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ضوء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المستقبلية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والمعلومات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المعتمدة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المؤلف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معروف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11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نوفمبر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Ares(2021)6942056</w:t>
      </w:r>
    </w:p>
    <w:p w:rsidR="00000000" w:rsidDel="00000000" w:rsidP="00000000" w:rsidRDefault="00000000" w:rsidRPr="00000000" w14:paraId="00000103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•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التصنيف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يوجد</w:t>
      </w:r>
    </w:p>
    <w:p w:rsidR="00000000" w:rsidDel="00000000" w:rsidP="00000000" w:rsidRDefault="00000000" w:rsidRPr="00000000" w14:paraId="00000104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الدور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المتزايد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تلعبه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وتأثيراتها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غرب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أفريقيا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نغوزي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أوزوماه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وروسيلا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مارينو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حظيت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إضفاء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الطابع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الخارجي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ضوابط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أفريقيا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باهتمام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ونقدي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الشيء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نفسه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المصممة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ظاهري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المرحلين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آخذ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الازدياد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وتثير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عواقب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غامبيا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ونيجيريا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تساؤلات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الوطنية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وحقوق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المرحلين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واستغلال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المنظمات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المستقلة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مقدمة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يحاول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صناع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السياسات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رسم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واضح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يسمى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الطوعية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المدعومة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والإبعاد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القسري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نظر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كلاهما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ينبع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إضفاء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الشرعية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المهاجرين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الشكلين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يرقى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يكافح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المرحلون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ومجتمعاتهم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تأسيس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أنفسهم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تجارب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المؤلمة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الحالات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القليلة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المساعدة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المساعدة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كأداة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لإقناع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أنفسهم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محدودة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الكمية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وتركز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أوروبا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تصورها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الواقع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تعطي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الأولوية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لمشاريع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الأعمال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الفردية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القائمة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الموارد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والتدريب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الكافيين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معالجة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الاستغلال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الاقتصادي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والظلم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التنقل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يواجهه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الأفارقة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2023،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زادت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مشاركة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رعايا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الثالثة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بنسبة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116٪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يسمى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الطوعية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وبنسبة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58٪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يتناول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التحليل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آثار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التوسع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غرب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إفريقيا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وغرب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إفريقيا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لدى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مشاركة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طويلة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الأمد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غرب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إفريقيا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بدأت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هيرا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تنطوي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دوريات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بحرية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وجوية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قبالة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سواحل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السنغال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وموريتانيا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والرأس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الأخضر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والمغرب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2006.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غرب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إفريقيا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جزء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مجتمع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استخبارات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إفريقيا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AFIC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وتستضيف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نيجيريا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والنيجر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وتوغو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وغانا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وساحل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وغينيا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والسنغال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وموريتانيا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المخاطر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وتستخدم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الاتفاقيات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لجمع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الجريمة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العابرة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الوطنية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ومعابر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للوكالة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ترتيبات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نيجيريا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والرأس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الأخضر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وكانت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اتفاقية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بعثة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بناء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القدرات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التابعة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النيجر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EUCAP Sahel Niger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حتى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أنهت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الحكومة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النيجيرية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مهمتها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ويتضمن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الترتيبات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تبادل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وبناء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القدرات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حوكمة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وتسهيل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اتفاقيات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القبول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تتطلب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الاتفاقيات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موافقة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البرلمان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يثير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تساؤلات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الشفافية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والديمقراطية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وبعيد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ترتيبات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الاتفاق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اتفاقيات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الوضع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وتسمح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الاتفاقيات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بنشر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مسؤولي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التفاوض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عليها</w:t>
      </w:r>
    </w:p>
    <w:p w:rsidR="00000000" w:rsidDel="00000000" w:rsidP="00000000" w:rsidRDefault="00000000" w:rsidRPr="00000000" w14:paraId="00000111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الخطط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والمبادرات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تشير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اتجاه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مقلق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للتوسع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الخارجي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وتطرح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قضايا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واضحة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ولها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نتيجة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مباشرة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تتمثل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التنقل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الجماعة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الاقتصادية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غرب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إفريقيا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إيكواس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bidi w:val="1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bidi w:val="1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bidi w:val="1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الإدماج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حظيت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باهتمام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أقل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المبادرات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فمنذ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2018،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إشراك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مقدمي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المحليين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شبكة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ERRIN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استحوذت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خدمة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المشتركة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JRS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التابعة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شبكة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ERRIN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2022،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وأعادت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تسميتها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ببرنامج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EU-RP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إسناد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جهة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أمنية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واضحة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يؤكد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يسمى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الطوعية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والإبعاد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القسري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الموضحة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أعلاه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تشير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السياسة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الأخيرة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توسيع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مشاركة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ضباط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الاتصال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وزيادة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تمويلهم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ونشرهم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المزيد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التوحيد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القياسي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والبياناتية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والرقمنة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ستزيد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مشاركتها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استشارات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تطوير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تدريبات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استشارية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ومناهج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مخصصة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وزيادة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استخراج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المفهوم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الغامض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المستدام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"؛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وتطوير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أدوات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رقمية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متعلقة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وتشمل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الأدوات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حالات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RECAMAS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وتطبيق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المتكامل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IRMA 2.0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تجريبي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لمستودع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بيانات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وسيتم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توسيع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نطاق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تطبيق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الهاتف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المحمول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RAPP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ينبغي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لمستشاري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التواصل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أداة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مساعدة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RIAT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واجهة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رقمية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تجمع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وترصد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مراحل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ستناقش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الأقسام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التطورات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يتعلق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بغامبيا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ونيجيريا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الدور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المتزايد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لوكالة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وعواقبه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غامبيا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والمهاجرين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قضايا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السيادة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العلاقة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غامبيا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المهاجرين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الشرعيين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معقدة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2018،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صادقت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الحكومة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الغامبية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الممارسات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الجيدة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إجراءات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تتضمن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أحكام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دمج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المرحلين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2019،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أعلن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الغامبي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أداما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بارو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وقف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مؤقت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لعمليات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القسرية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أدى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عقوبات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وتراجعت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الحكومة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الغامبية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النهاية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قرارها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وبالتالي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الواضح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بالفعل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تحسمها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الحكومة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الغامبية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25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قضايا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العلاقة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غامبيا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تفويض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مساعدات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متزايد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يؤدي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تفاقم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القلق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نظر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لسجلها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الواسع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انتهاكات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حقوق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وخارج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أراضي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نضال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المرحلين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أجل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الدعم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ولاية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ضابط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الاتصال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المتمركز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السنغال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يعني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الوكالة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تشارك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الآن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غامبيا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المساعدة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الممولة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يسمى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الطوعية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المدعومة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سابق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مكتب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الكاثوليكية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الغامبية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CaDO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إشراف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كاريتاس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بلجيكا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ERRIN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مناقشة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ورد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أعلاه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تولت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مسؤولية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التابع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2022.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ونتيجة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أبرمت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شراكة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كاريتاس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بلجيكا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0"/>
        </w:rPr>
        <w:t xml:space="preserve">CaDo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الشراكة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المساعدة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الوصول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للعائدين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الإقامة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المؤقتة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والطويلة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الأجل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ورأس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الأولي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لتطوير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الأعمال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والتدريب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أعرب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المستفيدون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السابقون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ERRIN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أسفهم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للتأخير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تلقي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والمتابعة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الكافية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والارتباك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يتعلق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بالمساعدة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يقدمها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شركاء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مختلفون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المنظمة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تدخل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الوكالة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مشهد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مشبع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بالفعل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بالجهات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الفاعلة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الإنسانية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والإنمائية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عنصر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عناصر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التعقيد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المفرط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بالنسبة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لكاريتاس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استعدادها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يؤكد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النتائج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التضمين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المتزايد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لما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يسمى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بالجهات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الفاعلة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الإنسانية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المشهد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الإداري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للهجرة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يغلب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عليه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الطابع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الأمني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​​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الغالب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العواقب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المترتبة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المشهد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المجتمعي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المدني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توحيد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الأدوات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الرقمية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ومناهج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التدريب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المذكورة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أعلاه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مفيد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لوكالة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والمسؤولين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العاملين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ولكنه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ضار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بالمستفيدين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نظر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للحالات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والبلدان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والظروف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المختلفة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وعلاوة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فإنه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يفرض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مخاطر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الكشف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الهوية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والخصوصية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بسبب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تركيزه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استخراج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والمعلومات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التعهد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بزيادة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الأموال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لتعزيز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عواقب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إضافية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تتمثل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تعزيز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موقف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الوكالة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تجاه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الجهات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الفاعلة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المدني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المحلية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والقائمة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فترة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طويلة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غامبيا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ويشمل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المنظمات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يقودها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المرحلون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تسعى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الاستقلال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الجهات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الفاعلة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قوة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المنظمة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تستغلهم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ومالي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راية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الفعالة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الدور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المتعمق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لفرونتكس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وعواقبه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نيجيريا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والمهاجرين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قضايا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السيادة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تعاون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الحكومة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النيجيرية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وخاصة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دائرة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النيجيرية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يثير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أسئلة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مهمة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الوطنية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الترتيبات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القائمة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توقيعها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2012)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واستراتيجية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(2019-2023)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تسلط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الضوء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الحوار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والتعاون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المنظمين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اللذين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يعرضان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استقلالية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نيجيريا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الخاصة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للخطر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تشجيع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السلطات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النيجيرية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تكثيف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جهودها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لتنفيذ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الاتفاق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ينتهك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البلاد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36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التركيز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وعمليات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يشير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السيطرة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شأنه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يقوض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نيجيريا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حماية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حقوق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مواطنيها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يرغبون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عبور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بحث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الحماية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تعاني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أجزاء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كثيرة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البلاد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اللصوصية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والاختطاف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والصراعات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اقتصادية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أفضل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bidi w:val="1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التركيز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بدلا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الإدماج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شددت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خطة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نيجيريا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سبتمبر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القبول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التركيز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يبدو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متناسب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تسهيل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بدلا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ضمان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الشامل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الرغم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مشاركة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المبادرات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العائدين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المساعدة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المتكاملة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للعائدين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وطالبي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اللجوء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IRARA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تشير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منظمات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المدني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الواقع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غالب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يختلف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موعود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يواجه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المرحلين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تحديات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الاندماج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مجتمعاتهم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يؤدي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أثناء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بحثهم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أفضل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الخارج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العمليات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الشفافة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غالب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انتقاد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مشهد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نيجيريا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بسبب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افتقاره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الشفافية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يبلغ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المرحلين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ارتباك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ونقص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الإجراءات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تؤثر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عليهم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تؤدي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الطبيعة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الشفافة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تفاقم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نقاط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الضعف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يترك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العائدين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توجيه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مناسب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أحد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منظمة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المدني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لمؤلفي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المقال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[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إيرارا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يعيدون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الناس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...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فقدوا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حواسهم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الترتيبات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؟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ترتيب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للتعافي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؟"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يسلط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الضوء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الحاجة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الملحة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آليات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اتصال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وضوح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للعائدين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المخاوف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الصحية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والتحديات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النفسية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الرغم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مساعدة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القضايا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الصحية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مصدر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قلق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للعديد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المهاجرين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النيجيريين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العائدين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تشير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التقارير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العائدين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يصلون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نيجيريا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يعانون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تحديات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نفسية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وصحية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خطيرة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عانوا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صدمة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أثناء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رحلة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يؤدي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الافتقار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الصحية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الكافية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النفسي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والاجتماعي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للعائدين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المزيد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التهميش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وأزمات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الصحة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العقلية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وكما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ممثلو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منظمة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المدني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[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العائدون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]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بحاجة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المزيد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الصحية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والمخاوف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الصحية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يحتاجون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نفسية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واجتماعية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تعلمون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القيام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ببعض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الأشياء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لأنه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تعافي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وضعها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يؤكد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الحاجة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صحية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شاملة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لمساعدة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العائدين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تعافيهم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التركيز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أهداف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الحقوق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الأساسية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غالب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تجد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منظمات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المدني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نيجيريا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نفسها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تتنقل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مشهد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يتماشى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القيم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الظاهرية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ومعايير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حقوق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التركيز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السريعة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يطغى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الحقوق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الأساسية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للمهاجرين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يؤدي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الانتهاكات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التركيز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الكفاءة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التشغيلية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الحقوق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الأساسية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للمهاجرين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يؤدي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انتهاكات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A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الاعتبارات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الإنسانية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تثير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مخاوف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أخلاقية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معاملة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المهاجرين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طوال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أوضح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أحد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أعضاء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منظمة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المدني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يعيدونهم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توجد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ترتيبات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مناسبة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يعيدون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أشخاص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شخص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السجن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....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ويعود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الشخص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مخدر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حواسه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الترتيبات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؟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ترتيبات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للتعافي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هؤلاء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أعيدوا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فقط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ليموتوا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؟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لأنه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بغض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النظر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تقدمه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لمثل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الشخص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فلن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مستدام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حتى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بعضهم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يرون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لأنهم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يعرفون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يفعلون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فقدوا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حواسهم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بالفعل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مصدر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قلقي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IRARA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0"/>
        </w:rPr>
        <w:t xml:space="preserve">Frontex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الخلاصة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تسعى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المناقشات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والتطورات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القانونية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الأخيرة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تعزيز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وتوسيع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مشاركة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Frontex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يشير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السرد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الأساسي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إمكانات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Frontex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توحيد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وتوحيد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الأساليب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أنحاء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ودوله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ولكن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عواقب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وخيمة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غرب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أفريقيا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تحديدا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غامبيا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فرضت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شراكة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قائمة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كاريتاس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البلجيكية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والغامبية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يزيد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تعقيد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مشهد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يجد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العائدون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صعوبة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التنقل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بالفعل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تركيز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الأدوات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الرقمية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وجمع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شأنه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يؤدي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تفاقم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الاتجاه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الأمني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​​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التعهد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بزيادة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موارد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الوكالة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المنطقة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شأنه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يؤدي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تفاقم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التوازن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القوة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تجاه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المنظمات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الشعبية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تكافح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لتجنب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الاستغلال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نيجيريا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يؤدي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تركيز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مراقبة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تقويض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البلاد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حماية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حقوق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المواطنين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النيجيريين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المجبرين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الانتقال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وعلاوة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تأسف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منظمات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المدني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والعائدون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الافتقار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الشفافية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وعدم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كفاية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الإدماج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يؤثر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سلب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الصحة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العقلية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للعائدين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ومجتمعاتهم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5A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عندما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يستلزم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الحزم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الفعالية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العنف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والإساءة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قائم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فترة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طويلة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المرجح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اقتراح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قانون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2025،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ليحل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توجيه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الإرجاع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2008.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وتقدم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المنشورة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جنب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جنب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النشرة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الأفكار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تضمينه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الاقتراح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المرجح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العواقب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المترتبة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الأفراد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يواجهون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ضارة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ضمانات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قانونية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أقل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والتزامات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وإكراه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متزايد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وطرق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جديدة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لإبعاد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بلدان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تعتبر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آمنة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المزيد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تحسين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التعاون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والتنسيق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التسعينيات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النهائي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المرحلين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مدى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السنوات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الخمس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الماضية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تغييرات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مختلفة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وضع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الاعتبار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وتشمل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التغييرات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صلاحيات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جديدة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وإنشاء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منصب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منسق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وتتولى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واللاجئين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مراقبة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تعاون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احتمال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يؤدي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الامتثال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إشعال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فتيل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عقوبات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التأشيرة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العقابية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وتفحص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واللاجئين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بانتظام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الآونة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الأخيرة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وضع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محاور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الأفضل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تسميتها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بمعسكرات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الأعمال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وتأتي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المقترحات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حالي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موضوع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للكثير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المناقشات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فقاعة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بروكسل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جنب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جنب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المقترحات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الكشف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المنشورة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النشرة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تجد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المقترحات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طريقها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اقتراح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لقانون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ليحل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محل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توجيه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نشرت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اقتراح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لمراجعة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توجيه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2018،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تعثرت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المفاوضات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والآن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تلتزم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والمجلس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بنص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وقالت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رئيسة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أورسولا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الاقتراح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أحد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المهام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الفورية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لمفوض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الشؤون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الداخلية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الرغم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سنوات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الفشل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تطبيق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شروطه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الخاصة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يبدو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عازم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جعل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صرامة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يتسبب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المزيد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الضرر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لعدد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الناس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تذكر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السياسة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صراحة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الآثار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السلبية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الأفراد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وبدلا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دعت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المتداولة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المجلس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الأشهر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الأخيرة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خطوات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نحو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(13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يوليو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تموز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أساس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حزما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ً" (9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سبتمبر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أيلول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تزيد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الفعالية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(13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سبتمبر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أيلول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أولوية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قصوى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دورها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يوليو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تموز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وبعد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أسبوعين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بقليل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نظرت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لاجتماع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التكامل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والطرد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التابع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للمجلس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IMEX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خطوات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نحو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المناقشات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IMEX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المواضيع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منظور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وتؤكد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18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يوليو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تموز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أولوية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قصوى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وجزء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شنغن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الحالية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(2024-2025)."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شنغن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ستبدأ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2025.</w:t>
      </w:r>
    </w:p>
    <w:p w:rsidR="00000000" w:rsidDel="00000000" w:rsidP="00000000" w:rsidRDefault="00000000" w:rsidRPr="00000000" w14:paraId="00000169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تؤكد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ضرورة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التآزر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المناسب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الالتزام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بالتعاون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السلطات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وضمان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الحقوق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الأساسية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للأشخاص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وبدون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يتعرض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التنفيذ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للخطر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تأثير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طموحاتنا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البعد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الخارجي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التعاون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ثالثة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تشير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اعتمادها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مؤخر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إجراءات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وتوفر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اللائحة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وسائل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جديدة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وأسرع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رفض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دخولهم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وتسمح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أسرع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للأشخاص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يعتبرون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تهديد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أمني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ظهرت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اجتماعات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المتعددة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للمجلس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الأشهر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الأخيرة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وتشير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الصادرة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يوليو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تموز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موقف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المجلس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اقتراح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2018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توجيه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المنقح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شأنه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يجعل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الأسهل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احتجاز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الأفراد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يعتبرون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تهديد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أمني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وحرمانهم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فترة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للمغادرة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الطوعية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المزيد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المستقبل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إشارة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إمكانية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استثناءات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تساهم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فعالية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لمواطني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الثالثة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تسلط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الضوء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التزام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قانوني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بإدخال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أوامر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الطرد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قاعدة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بيانات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شنغن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إمكانية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وضع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أمني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التنبيهات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تنطوي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أشخاص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عتقد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يشكلون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تهديد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للسياسة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القومي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زعم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الطعون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ضد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قرارات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تأثير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إيقافي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فقط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عندما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خطر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تعرض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مواطن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الثالثة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لخطر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حقيقي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لسوء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المعاملة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حالة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وتقول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بدون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الخطر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ينبغي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تطبيق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التأثير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الإيقافي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الخطوة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شأنها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تزيد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احتمال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شخص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الخطر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حلول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خارج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الصندوق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الصادرة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سبتمبر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حددت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رئاسة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المجلس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المجري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المقترحات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تعتبر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المبادرات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الجارية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إصلاح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اللجوء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المشترك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قادرة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تقليل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العبء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الإجمالي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وبالتالي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إيجاد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حلول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مبتكرة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خارج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الصندوق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وينبغي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يشمل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التقدم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صياغة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توجيه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توقف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المرجح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موضوع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اقتراح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المقبل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تعرضت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الصياغة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لانتقادات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باعتبارها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إصلاح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لـ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حبس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بسبب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أسباب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الاحتجاز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المرجح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يتبنى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الاقتراح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نهج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ليونة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الجدير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بالذكر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ورقة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بحثية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شهر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مارس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طلبت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وفود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إبداء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آرائها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تشريع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ينشئ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قدرات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احتجاز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دنيا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والمستوى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الوطني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؟".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ستشهد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بمعدل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أوامر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الطرد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الصادرة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مقابل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الإبعاد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تنفيذها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لإثبات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الحاجة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حلول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خارج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الصندوق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2023،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صدر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484.160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أمر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طرد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بينما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91.465،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بمعدل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18.9٪.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ورغم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اعترافها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الفجوة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تضيق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مجالا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كبيرا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لمزيد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التحسين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176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العنف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والإساءة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تأتي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ذكرهما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الرغم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انتهاكات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حقوق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الإنسان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الموثقة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وإساءة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المهدئات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والوفيات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مراكز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الاحتجاز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والتمييز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التعامل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الشرطة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لإلقاء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القبض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الرعايا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الأجانب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لإبعادهم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تجاهل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الأمور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لصالح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المطالبات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العملية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والتخمينية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تستمر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مواجهة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تحديات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كبيرة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تتعلق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بطلبات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اللجوء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المقدمة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فقط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لعرقلة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المرجح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المهاجرين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يصلون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قانوني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مؤهلين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لتلبية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الشروط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اللازمة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لتلقي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الحماية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وتدعو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توسيع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أدوات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التخارج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استكمالها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بـ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شروط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القبول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بموجب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لائحة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الأفضليات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المعمم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محاولة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لاستخدام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التجارة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لفرض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أولويات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وهناك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دعوة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لتكثيف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نهج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أوروبا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الشراكات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ويبدو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دعوة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لتكثيف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المبادرات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انت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باعتبارها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ابتزاز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تفعيل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المزيد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الحوافز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الثالثة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يتعين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تحسين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معدلات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تظهر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قضايا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مماثلة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ورقة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رئاسية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توزيعها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13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سبتمبر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أيلول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لاجتماع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اللجنة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الاستراتيجية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للهجرة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واللجوء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SCIFA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تأسف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توقف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العملية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التشريعية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صياغة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توجيه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لكنها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تقترح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العناصر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لـ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الإطار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القانوني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المستقبلي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تشير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الورقة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معدل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2023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15.5٪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18.9٪)،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أرقام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جزئية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2024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تشير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تؤكد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حاجة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تحسين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معدلات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والجنسيات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للمتلقين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لأوامر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الطرد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الجزائر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والمغرب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وتركيا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وأفغانستان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وسوريا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وجورجيا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تطرح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قضايا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الحماية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والتأمين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الخاصة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وتشير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المقترحات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المبتكرة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نفسها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طرحتها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ورقة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سبتمبر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أيلول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معسكرات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خارج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الإقليمية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وإزالة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يعتبرون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تهديد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أمني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وضمان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امتلاك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الطعون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ضد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قرارات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الإبعاد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لتأثير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إيقافي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تلقائي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وتستمر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الإشارة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المناقشات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لجنة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الممثلين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الدائمين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سبتمبر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أيلول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أسفرت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اتفاق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واسع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النطاق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تحديث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الإطار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التشريعي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ومحاولة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إزالة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العقبات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التشغيلية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وتشمل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التعاون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جانب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المواطنين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خارج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يواجهون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وسبل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التعامل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طلبات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اللجوء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تعتبر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مجرد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محاولات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لعرقلة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الإبعاد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خيار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تمكين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ثالثة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ثالثة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تضمين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الفكرة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الاقتراح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بلائحة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فرونتكس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2019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ولكن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حذفها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بناء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طلب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البرلمان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وتنص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الحلول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المبتكرة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لزيادة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سليمة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الناحية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القانونية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والعملية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والدبلوماسية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ورغم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يتطلب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الامتثال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القانوني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والتماسك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فإنه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يضمن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إزالة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الضمانات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القانونية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القائمة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تخفيفها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سبيل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المثال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تصف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مبدأ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القسرية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بأنه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غنى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وتقول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ينبغي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أخذه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الاعتبار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وفحصه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أثناء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إجراءات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بأكملها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فإنه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يضمن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الضمانات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القانونية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القائمة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إزالتها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تخفيفها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سبيل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المثال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تصف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الوثيقة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مبدأ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القسرية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بأنه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غنى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وتقول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إنه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أخذه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الاعتبار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وفحصه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أثناء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إجراءات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بأكملها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186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ويضيف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التحدي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المشترك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البلدان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المهاجرين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إليها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مصنفة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آمنة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يجعل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مستحيلة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وتشمل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الجهود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المبذولة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للتغلب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التحدي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إيجاد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حلول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فردية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تشجيع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الطوعية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والنظر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الجوانب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لـ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المستدامة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والحصول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الدعم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المنظمات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الدولية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مفوضية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الأمم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المتحدة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لشؤون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اللاجئين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ذكر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إمكانية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التعاون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السلطات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المعترف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بلدان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ثالثة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معينة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الرغم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تداعيات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أوسع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نطاقا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تحديدها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أكبر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طرح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التحدي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يفرضه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مبدأ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القسرية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كمشكلة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تتعلق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وجه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التحديد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الأفراد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عتقد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يشكلون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تهديد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أمني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الواضح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قضية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أولوية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عالية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بالنسبة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للدول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الأعضاء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والسؤال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الحاجة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الملحة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المزعومة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لإزالة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التهديدات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تواجه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ستخدم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كإسفين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لتقويض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المبدأ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نطاق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أوسع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8B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اتباع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المخطط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عجب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المجرية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تتبع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مخطط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العودة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ورثته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سابقتها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التركيز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توسيع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نطاق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الاحتجاز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وإدخال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معسكرات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خارج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الحدود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الإقليمية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وتخفيف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الضمانات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الأرجح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جعل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اقتراح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المفوضية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القادم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لقانون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ترحيل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صرامة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بالنسبة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للأفراد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تتميز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بميل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معاملة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البلدان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الأغلبية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المسلمة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ذكر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سوريا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وأفغانستان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وجه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التحديد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باعتبارهم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تهديدات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متأصلة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للأمن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النظام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وتشير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الرغبة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تخفيف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الحماية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ضد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الإعادة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القسرية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والحد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التدقيق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طلبات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اللجوء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والاستئنافات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بناء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افتراضات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الغرض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الأداتي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المفترض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8F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bidi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النشرة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يهدف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نفذته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Statewatch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0"/>
        </w:rPr>
        <w:t xml:space="preserve">migration-control.info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وبتمويل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Brot für die Welt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0"/>
        </w:rPr>
        <w:t xml:space="preserve">Misereor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0"/>
        </w:rPr>
        <w:t xml:space="preserve">medico international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0"/>
        </w:rPr>
        <w:t xml:space="preserve">Pro Asyl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جعل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سياسات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وخطط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وممارسات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التخارج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القيام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بذلك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يسعى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التقرير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تسليط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الضوء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تأثير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الإجراءات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حقوق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أثناء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التنقل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فضلا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المعايير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الديمقراطية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والشفافية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والمساءلة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ويعالج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التقرير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نقص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العامة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نشر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وثائق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الصلة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المرحلة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أساسي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تلك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أنتجها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ناقشها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مجلس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يتناول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التقرير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تدفق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الناتج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متنوعة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مؤسسات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الاتحاد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ومجموعات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والحكومات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الوطنية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المشاركة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أجندة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التوسع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الخارجي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تلخيص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التطورات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الموضوعية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والإقليمية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وتحليل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القضايا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بعمق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93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bidi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bidi w:val="1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