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32F53" w14:textId="77777777" w:rsidR="0099685F" w:rsidRDefault="00981762">
      <w:pPr>
        <w:tabs>
          <w:tab w:val="left" w:pos="5797"/>
        </w:tabs>
        <w:ind w:left="216" w:right="-44"/>
        <w:rPr>
          <w:rFonts w:ascii="Times New Roman"/>
          <w:sz w:val="20"/>
        </w:rPr>
      </w:pPr>
      <w:r>
        <w:rPr>
          <w:rFonts w:ascii="Times New Roman"/>
          <w:noProof/>
          <w:position w:val="5"/>
          <w:sz w:val="20"/>
          <w:lang w:val="fr-FR" w:eastAsia="fr-FR"/>
        </w:rPr>
        <w:drawing>
          <wp:inline distT="0" distB="0" distL="0" distR="0" wp14:anchorId="2D712B8F" wp14:editId="69A0DBD9">
            <wp:extent cx="3267099" cy="356234"/>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267099" cy="356234"/>
                    </a:xfrm>
                    <a:prstGeom prst="rect">
                      <a:avLst/>
                    </a:prstGeom>
                  </pic:spPr>
                </pic:pic>
              </a:graphicData>
            </a:graphic>
          </wp:inline>
        </w:drawing>
      </w:r>
      <w:r>
        <w:rPr>
          <w:rFonts w:ascii="Times New Roman"/>
          <w:position w:val="5"/>
          <w:sz w:val="19"/>
        </w:rPr>
        <w:tab/>
      </w:r>
      <w:r>
        <w:rPr>
          <w:rFonts w:ascii="Times New Roman"/>
          <w:noProof/>
          <w:sz w:val="20"/>
          <w:lang w:val="fr-FR" w:eastAsia="fr-FR"/>
        </w:rPr>
        <w:drawing>
          <wp:inline distT="0" distB="0" distL="0" distR="0" wp14:anchorId="5B1EF7EF" wp14:editId="4E1A7F70">
            <wp:extent cx="2168857" cy="461009"/>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168857" cy="461009"/>
                    </a:xfrm>
                    <a:prstGeom prst="rect">
                      <a:avLst/>
                    </a:prstGeom>
                  </pic:spPr>
                </pic:pic>
              </a:graphicData>
            </a:graphic>
          </wp:inline>
        </w:drawing>
      </w:r>
    </w:p>
    <w:p w14:paraId="774B5F3C" w14:textId="77777777" w:rsidR="0099685F" w:rsidRDefault="0099685F">
      <w:pPr>
        <w:pStyle w:val="BodyText"/>
        <w:spacing w:before="243"/>
        <w:ind w:left="0"/>
        <w:rPr>
          <w:rFonts w:ascii="Times New Roman"/>
          <w:sz w:val="32"/>
        </w:rPr>
      </w:pPr>
    </w:p>
    <w:p w14:paraId="21918A11" w14:textId="77777777" w:rsidR="0099685F" w:rsidRPr="00022147" w:rsidRDefault="00981762">
      <w:pPr>
        <w:pStyle w:val="Title"/>
        <w:spacing w:line="367" w:lineRule="auto"/>
        <w:rPr>
          <w:lang w:val="fr-FR"/>
        </w:rPr>
      </w:pPr>
      <w:r w:rsidRPr="00022147">
        <w:rPr>
          <w:sz w:val="30"/>
          <w:lang w:val="fr-FR"/>
        </w:rPr>
        <w:t>Externalisation des frontières Suivi de la politique d'externalisation de l'UE</w:t>
      </w:r>
    </w:p>
    <w:p w14:paraId="676A7F05" w14:textId="77777777" w:rsidR="0099685F" w:rsidRPr="00022147" w:rsidRDefault="00981762">
      <w:pPr>
        <w:pStyle w:val="BodyText"/>
        <w:spacing w:before="0" w:line="250" w:lineRule="exact"/>
        <w:jc w:val="center"/>
        <w:rPr>
          <w:lang w:val="fr-FR"/>
        </w:rPr>
      </w:pPr>
      <w:r w:rsidRPr="00022147">
        <w:rPr>
          <w:sz w:val="20"/>
          <w:lang w:val="fr-FR"/>
        </w:rPr>
        <w:t xml:space="preserve">Bulletin </w:t>
      </w:r>
      <w:r w:rsidRPr="00022147">
        <w:rPr>
          <w:spacing w:val="-10"/>
          <w:sz w:val="20"/>
          <w:lang w:val="fr-FR"/>
        </w:rPr>
        <w:t>5</w:t>
      </w:r>
    </w:p>
    <w:p w14:paraId="7B97E2A4" w14:textId="77777777" w:rsidR="0099685F" w:rsidRPr="00022147" w:rsidRDefault="00981762">
      <w:pPr>
        <w:pStyle w:val="BodyText"/>
        <w:spacing w:before="51"/>
        <w:ind w:right="2"/>
        <w:jc w:val="center"/>
        <w:rPr>
          <w:lang w:val="fr-FR"/>
        </w:rPr>
      </w:pPr>
      <w:r w:rsidRPr="00022147">
        <w:rPr>
          <w:sz w:val="20"/>
          <w:lang w:val="fr-FR"/>
        </w:rPr>
        <w:t xml:space="preserve">11 février </w:t>
      </w:r>
      <w:r w:rsidRPr="00022147">
        <w:rPr>
          <w:spacing w:val="-4"/>
          <w:sz w:val="20"/>
          <w:lang w:val="fr-FR"/>
        </w:rPr>
        <w:t>2024</w:t>
      </w:r>
    </w:p>
    <w:p w14:paraId="0CDEA923" w14:textId="40961C7E" w:rsidR="0099685F" w:rsidRPr="00022147" w:rsidRDefault="00282F82">
      <w:pPr>
        <w:spacing w:before="171" w:line="288" w:lineRule="auto"/>
        <w:ind w:left="299" w:right="157" w:hanging="2"/>
        <w:jc w:val="center"/>
        <w:rPr>
          <w:i/>
          <w:lang w:val="fr-FR"/>
        </w:rPr>
      </w:pPr>
      <w:r>
        <w:rPr>
          <w:i/>
          <w:sz w:val="20"/>
          <w:lang w:val="fr-FR"/>
        </w:rPr>
        <w:t>« </w:t>
      </w:r>
      <w:r w:rsidR="00981762" w:rsidRPr="00022147">
        <w:rPr>
          <w:i/>
          <w:sz w:val="20"/>
          <w:lang w:val="fr-FR"/>
        </w:rPr>
        <w:t>L'Europe forteresse ne se contente pas de laisser les gens dans la misère et de les repousser devant ses murs : La forteresse Europe tue. Rien de tout cela n'est accidentel ou simplement malheureux ; ces politiques sont systémiques et systématiques, et tolèrent les morts. Puisque l'UE accepte sciemment et volontairement ces morts, il ne s'agit clairement pas d'un problème humanitaire mais d'une catastrophe politique</w:t>
      </w:r>
      <w:r>
        <w:rPr>
          <w:i/>
          <w:sz w:val="20"/>
          <w:lang w:val="fr-FR"/>
        </w:rPr>
        <w:t> »</w:t>
      </w:r>
      <w:r w:rsidR="00981762" w:rsidRPr="00022147">
        <w:rPr>
          <w:i/>
          <w:sz w:val="20"/>
          <w:lang w:val="fr-FR"/>
        </w:rPr>
        <w:t>.</w:t>
      </w:r>
    </w:p>
    <w:p w14:paraId="550B6B6C" w14:textId="77777777" w:rsidR="0099685F" w:rsidRPr="00022147" w:rsidRDefault="00981762">
      <w:pPr>
        <w:pStyle w:val="BodyText"/>
        <w:ind w:right="2"/>
        <w:jc w:val="center"/>
        <w:rPr>
          <w:lang w:val="fr-FR"/>
        </w:rPr>
      </w:pPr>
      <w:r w:rsidRPr="00022147">
        <w:rPr>
          <w:sz w:val="20"/>
          <w:lang w:val="fr-FR"/>
        </w:rPr>
        <w:t xml:space="preserve">Pia </w:t>
      </w:r>
      <w:proofErr w:type="spellStart"/>
      <w:r w:rsidRPr="00022147">
        <w:rPr>
          <w:spacing w:val="-2"/>
          <w:sz w:val="20"/>
          <w:lang w:val="fr-FR"/>
        </w:rPr>
        <w:t>Klemp</w:t>
      </w:r>
      <w:proofErr w:type="spellEnd"/>
    </w:p>
    <w:p w14:paraId="3224E18E" w14:textId="77777777" w:rsidR="0099685F" w:rsidRPr="00022147" w:rsidRDefault="00981762">
      <w:pPr>
        <w:spacing w:before="170"/>
        <w:ind w:left="142"/>
        <w:rPr>
          <w:b/>
          <w:sz w:val="28"/>
          <w:lang w:val="fr-FR"/>
        </w:rPr>
      </w:pPr>
      <w:r w:rsidRPr="00022147">
        <w:rPr>
          <w:b/>
          <w:spacing w:val="-2"/>
          <w:sz w:val="26"/>
          <w:lang w:val="fr-FR"/>
        </w:rPr>
        <w:t>Contenu</w:t>
      </w:r>
    </w:p>
    <w:sdt>
      <w:sdtPr>
        <w:id w:val="1746865022"/>
        <w:docPartObj>
          <w:docPartGallery w:val="Table of Contents"/>
          <w:docPartUnique/>
        </w:docPartObj>
      </w:sdtPr>
      <w:sdtEndPr/>
      <w:sdtContent>
        <w:p w14:paraId="4BEDDDD3" w14:textId="77777777" w:rsidR="0099685F" w:rsidRPr="00022147" w:rsidRDefault="00981762">
          <w:pPr>
            <w:pStyle w:val="TOC1"/>
            <w:tabs>
              <w:tab w:val="right" w:leader="dot" w:pos="9204"/>
            </w:tabs>
            <w:spacing w:before="185"/>
            <w:rPr>
              <w:lang w:val="fr-FR"/>
            </w:rPr>
          </w:pPr>
          <w:hyperlink w:anchor="_bookmark0" w:history="1">
            <w:r w:rsidRPr="00022147">
              <w:rPr>
                <w:sz w:val="20"/>
                <w:lang w:val="fr-FR"/>
              </w:rPr>
              <w:t xml:space="preserve">Editorial : vieux vin, vieilles bouteilles - nouveaux </w:t>
            </w:r>
            <w:r w:rsidRPr="00022147">
              <w:rPr>
                <w:spacing w:val="-2"/>
                <w:sz w:val="20"/>
                <w:lang w:val="fr-FR"/>
              </w:rPr>
              <w:t>verres ?</w:t>
            </w:r>
            <w:r w:rsidRPr="00022147">
              <w:rPr>
                <w:sz w:val="20"/>
                <w:lang w:val="fr-FR"/>
              </w:rPr>
              <w:tab/>
            </w:r>
            <w:r w:rsidRPr="00022147">
              <w:rPr>
                <w:spacing w:val="-10"/>
                <w:sz w:val="20"/>
                <w:lang w:val="fr-FR"/>
              </w:rPr>
              <w:t>2</w:t>
            </w:r>
          </w:hyperlink>
        </w:p>
        <w:p w14:paraId="7F63CE4D" w14:textId="77777777" w:rsidR="0099685F" w:rsidRPr="00022147" w:rsidRDefault="00981762">
          <w:pPr>
            <w:pStyle w:val="TOC1"/>
            <w:tabs>
              <w:tab w:val="right" w:leader="dot" w:pos="9204"/>
            </w:tabs>
            <w:rPr>
              <w:lang w:val="fr-FR"/>
            </w:rPr>
          </w:pPr>
          <w:hyperlink w:anchor="_bookmark1" w:history="1">
            <w:r w:rsidRPr="00022147">
              <w:rPr>
                <w:spacing w:val="-2"/>
                <w:sz w:val="20"/>
                <w:lang w:val="fr-FR"/>
              </w:rPr>
              <w:t xml:space="preserve">Développements </w:t>
            </w:r>
            <w:r w:rsidRPr="00022147">
              <w:rPr>
                <w:sz w:val="20"/>
                <w:lang w:val="fr-FR"/>
              </w:rPr>
              <w:t>thématiques et régionaux</w:t>
            </w:r>
            <w:r w:rsidRPr="00022147">
              <w:rPr>
                <w:sz w:val="20"/>
                <w:lang w:val="fr-FR"/>
              </w:rPr>
              <w:tab/>
            </w:r>
            <w:r w:rsidRPr="00022147">
              <w:rPr>
                <w:spacing w:val="-10"/>
                <w:sz w:val="20"/>
                <w:lang w:val="fr-FR"/>
              </w:rPr>
              <w:t>4</w:t>
            </w:r>
          </w:hyperlink>
        </w:p>
        <w:p w14:paraId="32EE5A55" w14:textId="77777777" w:rsidR="0099685F" w:rsidRPr="00022147" w:rsidRDefault="00981762">
          <w:pPr>
            <w:pStyle w:val="TOC2"/>
            <w:tabs>
              <w:tab w:val="right" w:leader="dot" w:pos="9204"/>
            </w:tabs>
            <w:rPr>
              <w:lang w:val="fr-FR"/>
            </w:rPr>
          </w:pPr>
          <w:hyperlink w:anchor="_bookmark2" w:history="1">
            <w:r w:rsidRPr="00022147">
              <w:rPr>
                <w:spacing w:val="-2"/>
                <w:sz w:val="20"/>
                <w:lang w:val="fr-FR"/>
              </w:rPr>
              <w:t xml:space="preserve">Gestion des </w:t>
            </w:r>
            <w:r w:rsidRPr="00022147">
              <w:rPr>
                <w:sz w:val="20"/>
                <w:lang w:val="fr-FR"/>
              </w:rPr>
              <w:t>frontières</w:t>
            </w:r>
            <w:r w:rsidRPr="00022147">
              <w:rPr>
                <w:sz w:val="20"/>
                <w:lang w:val="fr-FR"/>
              </w:rPr>
              <w:tab/>
            </w:r>
            <w:r w:rsidRPr="00022147">
              <w:rPr>
                <w:spacing w:val="-10"/>
                <w:sz w:val="20"/>
                <w:lang w:val="fr-FR"/>
              </w:rPr>
              <w:t>4</w:t>
            </w:r>
          </w:hyperlink>
        </w:p>
        <w:p w14:paraId="7D0C3A2E" w14:textId="77777777" w:rsidR="0099685F" w:rsidRPr="00022147" w:rsidRDefault="00981762">
          <w:pPr>
            <w:pStyle w:val="TOC2"/>
            <w:tabs>
              <w:tab w:val="right" w:leader="dot" w:pos="9204"/>
            </w:tabs>
            <w:spacing w:before="107"/>
            <w:rPr>
              <w:lang w:val="fr-FR"/>
            </w:rPr>
          </w:pPr>
          <w:hyperlink w:anchor="_bookmark3" w:history="1">
            <w:r w:rsidRPr="00022147">
              <w:rPr>
                <w:sz w:val="20"/>
                <w:lang w:val="fr-FR"/>
              </w:rPr>
              <w:t xml:space="preserve">Budgets et </w:t>
            </w:r>
            <w:r w:rsidRPr="00022147">
              <w:rPr>
                <w:spacing w:val="-2"/>
                <w:sz w:val="20"/>
                <w:lang w:val="fr-FR"/>
              </w:rPr>
              <w:t>financement</w:t>
            </w:r>
            <w:r w:rsidRPr="00022147">
              <w:rPr>
                <w:sz w:val="20"/>
                <w:lang w:val="fr-FR"/>
              </w:rPr>
              <w:tab/>
            </w:r>
            <w:r w:rsidRPr="00022147">
              <w:rPr>
                <w:spacing w:val="-12"/>
                <w:sz w:val="20"/>
                <w:lang w:val="fr-FR"/>
              </w:rPr>
              <w:t>5</w:t>
            </w:r>
          </w:hyperlink>
        </w:p>
        <w:p w14:paraId="5920E59B" w14:textId="77777777" w:rsidR="0099685F" w:rsidRPr="00022147" w:rsidRDefault="00981762">
          <w:pPr>
            <w:pStyle w:val="TOC2"/>
            <w:tabs>
              <w:tab w:val="right" w:leader="dot" w:pos="9204"/>
            </w:tabs>
            <w:rPr>
              <w:lang w:val="fr-FR"/>
            </w:rPr>
          </w:pPr>
          <w:hyperlink w:anchor="_bookmark4" w:history="1">
            <w:r w:rsidRPr="00022147">
              <w:rPr>
                <w:sz w:val="20"/>
                <w:lang w:val="fr-FR"/>
              </w:rPr>
              <w:t xml:space="preserve">Expulsion et </w:t>
            </w:r>
            <w:r w:rsidRPr="00022147">
              <w:rPr>
                <w:spacing w:val="-2"/>
                <w:sz w:val="20"/>
                <w:lang w:val="fr-FR"/>
              </w:rPr>
              <w:t>réadmission</w:t>
            </w:r>
            <w:r w:rsidRPr="00022147">
              <w:rPr>
                <w:sz w:val="20"/>
                <w:lang w:val="fr-FR"/>
              </w:rPr>
              <w:tab/>
            </w:r>
            <w:r w:rsidRPr="00022147">
              <w:rPr>
                <w:spacing w:val="-10"/>
                <w:sz w:val="20"/>
                <w:lang w:val="fr-FR"/>
              </w:rPr>
              <w:t>5</w:t>
            </w:r>
          </w:hyperlink>
        </w:p>
        <w:p w14:paraId="5E153E8D" w14:textId="77777777" w:rsidR="0099685F" w:rsidRPr="00022147" w:rsidRDefault="00981762">
          <w:pPr>
            <w:pStyle w:val="TOC2"/>
            <w:tabs>
              <w:tab w:val="right" w:leader="dot" w:pos="9204"/>
            </w:tabs>
            <w:spacing w:before="107"/>
            <w:rPr>
              <w:lang w:val="fr-FR"/>
            </w:rPr>
          </w:pPr>
          <w:hyperlink w:anchor="_bookmark5" w:history="1">
            <w:r w:rsidRPr="00022147">
              <w:rPr>
                <w:spacing w:val="-2"/>
                <w:sz w:val="20"/>
                <w:lang w:val="fr-FR"/>
              </w:rPr>
              <w:t xml:space="preserve">Partenariats </w:t>
            </w:r>
            <w:r w:rsidRPr="00022147">
              <w:rPr>
                <w:sz w:val="20"/>
                <w:lang w:val="fr-FR"/>
              </w:rPr>
              <w:t>migratoires</w:t>
            </w:r>
            <w:r w:rsidRPr="00022147">
              <w:rPr>
                <w:sz w:val="20"/>
                <w:lang w:val="fr-FR"/>
              </w:rPr>
              <w:tab/>
            </w:r>
            <w:r w:rsidRPr="00022147">
              <w:rPr>
                <w:spacing w:val="-12"/>
                <w:sz w:val="20"/>
                <w:lang w:val="fr-FR"/>
              </w:rPr>
              <w:t>6</w:t>
            </w:r>
          </w:hyperlink>
        </w:p>
        <w:p w14:paraId="700D9FDB" w14:textId="77777777" w:rsidR="0099685F" w:rsidRPr="00022147" w:rsidRDefault="00981762">
          <w:pPr>
            <w:pStyle w:val="TOC2"/>
            <w:tabs>
              <w:tab w:val="right" w:leader="dot" w:pos="9204"/>
            </w:tabs>
            <w:rPr>
              <w:lang w:val="fr-FR"/>
            </w:rPr>
          </w:pPr>
          <w:hyperlink w:anchor="_bookmark6" w:history="1">
            <w:r w:rsidRPr="00022147">
              <w:rPr>
                <w:spacing w:val="-2"/>
                <w:sz w:val="20"/>
                <w:lang w:val="fr-FR"/>
              </w:rPr>
              <w:t>Autres</w:t>
            </w:r>
            <w:r w:rsidRPr="00022147">
              <w:rPr>
                <w:sz w:val="20"/>
                <w:lang w:val="fr-FR"/>
              </w:rPr>
              <w:tab/>
            </w:r>
            <w:r w:rsidRPr="00022147">
              <w:rPr>
                <w:spacing w:val="-10"/>
                <w:sz w:val="20"/>
                <w:lang w:val="fr-FR"/>
              </w:rPr>
              <w:t>7</w:t>
            </w:r>
          </w:hyperlink>
        </w:p>
        <w:p w14:paraId="55BA7F55" w14:textId="77777777" w:rsidR="0099685F" w:rsidRPr="00022147" w:rsidRDefault="00981762">
          <w:pPr>
            <w:pStyle w:val="TOC1"/>
            <w:tabs>
              <w:tab w:val="right" w:leader="dot" w:pos="9204"/>
            </w:tabs>
            <w:rPr>
              <w:lang w:val="fr-FR"/>
            </w:rPr>
          </w:pPr>
          <w:hyperlink w:anchor="_bookmark7" w:history="1">
            <w:r w:rsidRPr="00022147">
              <w:rPr>
                <w:sz w:val="20"/>
                <w:lang w:val="fr-FR"/>
              </w:rPr>
              <w:t>Analyse : La violence à distance : Le rôle croissant de Frontex en dehors de l'</w:t>
            </w:r>
            <w:r w:rsidRPr="00022147">
              <w:rPr>
                <w:spacing w:val="-5"/>
                <w:sz w:val="20"/>
                <w:lang w:val="fr-FR"/>
              </w:rPr>
              <w:t>UE</w:t>
            </w:r>
            <w:r w:rsidRPr="00022147">
              <w:rPr>
                <w:sz w:val="20"/>
                <w:lang w:val="fr-FR"/>
              </w:rPr>
              <w:tab/>
            </w:r>
            <w:r w:rsidRPr="00022147">
              <w:rPr>
                <w:spacing w:val="-10"/>
                <w:sz w:val="20"/>
                <w:lang w:val="fr-FR"/>
              </w:rPr>
              <w:t>8</w:t>
            </w:r>
          </w:hyperlink>
        </w:p>
        <w:p w14:paraId="6EB3B392" w14:textId="77777777" w:rsidR="0099685F" w:rsidRPr="00022147" w:rsidRDefault="00981762">
          <w:pPr>
            <w:pStyle w:val="TOC1"/>
            <w:tabs>
              <w:tab w:val="right" w:leader="dot" w:pos="9204"/>
            </w:tabs>
            <w:spacing w:before="109"/>
            <w:rPr>
              <w:lang w:val="fr-FR"/>
            </w:rPr>
          </w:pPr>
          <w:hyperlink w:anchor="_bookmark9" w:history="1">
            <w:r w:rsidRPr="00022147">
              <w:rPr>
                <w:sz w:val="20"/>
                <w:lang w:val="fr-FR"/>
              </w:rPr>
              <w:t xml:space="preserve">À propos de ce </w:t>
            </w:r>
            <w:r w:rsidRPr="00022147">
              <w:rPr>
                <w:spacing w:val="-2"/>
                <w:sz w:val="20"/>
                <w:lang w:val="fr-FR"/>
              </w:rPr>
              <w:t>bulletin</w:t>
            </w:r>
            <w:r w:rsidRPr="00022147">
              <w:rPr>
                <w:sz w:val="20"/>
                <w:lang w:val="fr-FR"/>
              </w:rPr>
              <w:tab/>
            </w:r>
            <w:r w:rsidRPr="00022147">
              <w:rPr>
                <w:spacing w:val="-7"/>
                <w:sz w:val="20"/>
                <w:lang w:val="fr-FR"/>
              </w:rPr>
              <w:t>16</w:t>
            </w:r>
          </w:hyperlink>
        </w:p>
      </w:sdtContent>
    </w:sdt>
    <w:p w14:paraId="7EFCE41E" w14:textId="77777777" w:rsidR="0099685F" w:rsidRPr="00022147" w:rsidRDefault="0099685F">
      <w:pPr>
        <w:pStyle w:val="TOC1"/>
        <w:rPr>
          <w:lang w:val="fr-FR"/>
        </w:rPr>
        <w:sectPr w:rsidR="0099685F" w:rsidRPr="00022147">
          <w:footerReference w:type="default" r:id="rId9"/>
          <w:type w:val="continuous"/>
          <w:pgSz w:w="11910" w:h="16840"/>
          <w:pgMar w:top="1920" w:right="1417" w:bottom="1960" w:left="1275" w:header="0" w:footer="1766" w:gutter="0"/>
          <w:pgNumType w:start="1"/>
          <w:cols w:space="708"/>
        </w:sectPr>
      </w:pPr>
    </w:p>
    <w:p w14:paraId="46C84B4F" w14:textId="77777777" w:rsidR="0099685F" w:rsidRPr="00022147" w:rsidRDefault="00981762">
      <w:pPr>
        <w:pStyle w:val="Heading1"/>
        <w:rPr>
          <w:lang w:val="fr-FR"/>
        </w:rPr>
      </w:pPr>
      <w:bookmarkStart w:id="0" w:name="Editorial:_old_wine,_old_bottles_–_new_g"/>
      <w:bookmarkStart w:id="1" w:name="_bookmark0"/>
      <w:bookmarkEnd w:id="0"/>
      <w:bookmarkEnd w:id="1"/>
      <w:r w:rsidRPr="00022147">
        <w:rPr>
          <w:sz w:val="26"/>
          <w:lang w:val="fr-FR"/>
        </w:rPr>
        <w:lastRenderedPageBreak/>
        <w:t xml:space="preserve">Editorial : vieux vin, vieilles bouteilles - nouveaux </w:t>
      </w:r>
      <w:r w:rsidRPr="00022147">
        <w:rPr>
          <w:spacing w:val="-2"/>
          <w:sz w:val="26"/>
          <w:lang w:val="fr-FR"/>
        </w:rPr>
        <w:t>verres ?</w:t>
      </w:r>
    </w:p>
    <w:p w14:paraId="0CFDEBA5" w14:textId="4749F723" w:rsidR="0099685F" w:rsidRPr="00022147" w:rsidRDefault="00981762">
      <w:pPr>
        <w:pStyle w:val="BodyText"/>
        <w:spacing w:before="184" w:line="288" w:lineRule="auto"/>
        <w:rPr>
          <w:lang w:val="fr-FR"/>
        </w:rPr>
      </w:pPr>
      <w:r w:rsidRPr="00022147">
        <w:rPr>
          <w:sz w:val="20"/>
          <w:lang w:val="fr-FR"/>
        </w:rPr>
        <w:t xml:space="preserve">Au début du mois, </w:t>
      </w:r>
      <w:proofErr w:type="spellStart"/>
      <w:r w:rsidRPr="00022147">
        <w:rPr>
          <w:i/>
          <w:sz w:val="20"/>
          <w:lang w:val="fr-FR"/>
        </w:rPr>
        <w:t>EUobserver</w:t>
      </w:r>
      <w:proofErr w:type="spellEnd"/>
      <w:r w:rsidRPr="00022147">
        <w:rPr>
          <w:i/>
          <w:sz w:val="20"/>
          <w:lang w:val="fr-FR"/>
        </w:rPr>
        <w:t xml:space="preserve"> </w:t>
      </w:r>
      <w:hyperlink r:id="rId10">
        <w:r w:rsidRPr="00022147">
          <w:rPr>
            <w:color w:val="05037E"/>
            <w:sz w:val="20"/>
            <w:u w:val="single" w:color="05037E"/>
            <w:lang w:val="fr-FR"/>
          </w:rPr>
          <w:t xml:space="preserve">a rapporté </w:t>
        </w:r>
      </w:hyperlink>
      <w:r w:rsidRPr="00022147">
        <w:rPr>
          <w:sz w:val="20"/>
          <w:lang w:val="fr-FR"/>
        </w:rPr>
        <w:t xml:space="preserve">que la Commission européenne avait adopté </w:t>
      </w:r>
      <w:r w:rsidR="00220D6B" w:rsidRPr="00220D6B">
        <w:rPr>
          <w:sz w:val="20"/>
          <w:lang w:val="fr-FR"/>
        </w:rPr>
        <w:t>« nouvelle rhétorique » en matière de migration, ciblant les « migrants en situation irrégulière » et les « déboutés du droit d’asile », et faisant de l’augmentation des taux de retour une « priorité politique ».</w:t>
      </w:r>
    </w:p>
    <w:p w14:paraId="2DAED385" w14:textId="428CD246" w:rsidR="00220D6B" w:rsidRDefault="00220D6B">
      <w:pPr>
        <w:pStyle w:val="BodyText"/>
        <w:spacing w:line="288" w:lineRule="auto"/>
        <w:rPr>
          <w:sz w:val="20"/>
          <w:lang w:val="fr-FR"/>
        </w:rPr>
      </w:pPr>
      <w:r w:rsidRPr="00220D6B">
        <w:rPr>
          <w:sz w:val="20"/>
          <w:lang w:val="fr-FR"/>
        </w:rPr>
        <w:t>En réalité, il s’agit d’un discours ancien, servi sous une forme à peine renouvelée : du vieux vin dans de vieilles bouteilles, peut-être simplement versé dans de nouveaux verres.</w:t>
      </w:r>
    </w:p>
    <w:p w14:paraId="7DAEE81B" w14:textId="087F8B16" w:rsidR="00220D6B" w:rsidRDefault="00220D6B">
      <w:pPr>
        <w:pStyle w:val="BodyText"/>
        <w:rPr>
          <w:sz w:val="20"/>
          <w:lang w:val="fr-FR"/>
        </w:rPr>
      </w:pPr>
      <w:r w:rsidRPr="00220D6B">
        <w:rPr>
          <w:sz w:val="20"/>
          <w:lang w:val="fr-FR"/>
        </w:rPr>
        <w:t>Quoi qu’il en soit, ce regain d’attention politique entraîne une série de nouvelles initiatives.</w:t>
      </w:r>
    </w:p>
    <w:p w14:paraId="2F525722" w14:textId="4F4F29ED" w:rsidR="00220D6B" w:rsidRPr="000956E3" w:rsidRDefault="000956E3" w:rsidP="000956E3">
      <w:pPr>
        <w:pStyle w:val="BodyText"/>
        <w:spacing w:before="171" w:line="288" w:lineRule="auto"/>
        <w:ind w:right="168" w:hanging="1"/>
        <w:rPr>
          <w:sz w:val="20"/>
          <w:lang w:val="fr-FR"/>
        </w:rPr>
      </w:pPr>
      <w:r w:rsidRPr="000956E3">
        <w:rPr>
          <w:sz w:val="20"/>
          <w:lang w:val="fr-FR"/>
        </w:rPr>
        <w:t>Celles-ci visent</w:t>
      </w:r>
      <w:r>
        <w:rPr>
          <w:sz w:val="20"/>
          <w:lang w:val="fr-FR"/>
        </w:rPr>
        <w:t xml:space="preserve"> exigen</w:t>
      </w:r>
      <w:r w:rsidRPr="000956E3">
        <w:rPr>
          <w:sz w:val="20"/>
          <w:lang w:val="fr-FR"/>
        </w:rPr>
        <w:t>t que l’UE renforce son pouvoir sur les États non membres afin d’obtenir leur coopération dans le cadre du programme de contrôle des migrations — un programme qui entretient les abus et la déshumanisation des migrants et réfugiés.</w:t>
      </w:r>
    </w:p>
    <w:p w14:paraId="056278A2" w14:textId="4BB4D412" w:rsidR="0099685F" w:rsidRPr="00022147" w:rsidRDefault="000956E3">
      <w:pPr>
        <w:pStyle w:val="Heading3"/>
        <w:rPr>
          <w:lang w:val="fr-FR"/>
        </w:rPr>
      </w:pPr>
      <w:r>
        <w:rPr>
          <w:sz w:val="20"/>
          <w:lang w:val="fr-FR"/>
        </w:rPr>
        <w:t xml:space="preserve"> </w:t>
      </w:r>
      <w:r w:rsidRPr="000956E3">
        <w:rPr>
          <w:sz w:val="20"/>
          <w:lang w:val="fr-FR"/>
        </w:rPr>
        <w:t>« Effet de levier » sur les États non membres de l’UE</w:t>
      </w:r>
    </w:p>
    <w:p w14:paraId="456A911B" w14:textId="1EA5C3C7" w:rsidR="000956E3" w:rsidRDefault="000956E3">
      <w:pPr>
        <w:pStyle w:val="BodyText"/>
        <w:spacing w:line="288" w:lineRule="auto"/>
        <w:rPr>
          <w:sz w:val="20"/>
          <w:lang w:val="fr-FR"/>
        </w:rPr>
      </w:pPr>
      <w:r w:rsidRPr="000956E3">
        <w:rPr>
          <w:sz w:val="20"/>
          <w:lang w:val="fr-FR"/>
        </w:rPr>
        <w:t xml:space="preserve">Depuis des années, l’UE cherche à renforcer son </w:t>
      </w:r>
      <w:r>
        <w:rPr>
          <w:sz w:val="20"/>
          <w:lang w:val="fr-FR"/>
        </w:rPr>
        <w:t>« </w:t>
      </w:r>
      <w:r w:rsidRPr="000956E3">
        <w:rPr>
          <w:sz w:val="20"/>
          <w:lang w:val="fr-FR"/>
        </w:rPr>
        <w:t>influence</w:t>
      </w:r>
      <w:r>
        <w:rPr>
          <w:sz w:val="20"/>
          <w:lang w:val="fr-FR"/>
        </w:rPr>
        <w:t> »</w:t>
      </w:r>
      <w:r w:rsidRPr="000956E3">
        <w:rPr>
          <w:sz w:val="20"/>
          <w:lang w:val="fr-FR"/>
        </w:rPr>
        <w:t xml:space="preserve"> sur les États non membres pour les pousser à accepter les expulsions.</w:t>
      </w:r>
    </w:p>
    <w:p w14:paraId="678149B9" w14:textId="59A40983" w:rsidR="0099685F" w:rsidRPr="00022147" w:rsidRDefault="000956E3">
      <w:pPr>
        <w:pStyle w:val="BodyText"/>
        <w:spacing w:line="288" w:lineRule="auto"/>
        <w:rPr>
          <w:lang w:val="fr-FR"/>
        </w:rPr>
      </w:pPr>
      <w:r w:rsidRPr="000956E3">
        <w:rPr>
          <w:sz w:val="20"/>
          <w:lang w:val="fr-FR"/>
        </w:rPr>
        <w:t>Parmi les outils employés :</w:t>
      </w:r>
      <w:r w:rsidR="00981762" w:rsidRPr="00022147">
        <w:rPr>
          <w:sz w:val="20"/>
          <w:lang w:val="fr-FR"/>
        </w:rPr>
        <w:t xml:space="preserve"> </w:t>
      </w:r>
      <w:hyperlink r:id="rId11">
        <w:r>
          <w:rPr>
            <w:color w:val="05037E"/>
            <w:sz w:val="20"/>
            <w:u w:val="single" w:color="05037E"/>
            <w:lang w:val="fr-FR"/>
          </w:rPr>
          <w:t>restriction</w:t>
        </w:r>
        <w:r w:rsidR="00981762" w:rsidRPr="00022147">
          <w:rPr>
            <w:color w:val="05037E"/>
            <w:sz w:val="20"/>
            <w:u w:val="single" w:color="05037E"/>
            <w:lang w:val="fr-FR"/>
          </w:rPr>
          <w:t xml:space="preserve"> en matière de visas </w:t>
        </w:r>
      </w:hyperlink>
      <w:r w:rsidR="00981762" w:rsidRPr="00022147">
        <w:rPr>
          <w:sz w:val="20"/>
          <w:lang w:val="fr-FR"/>
        </w:rPr>
        <w:t>et de propositions</w:t>
      </w:r>
      <w:r>
        <w:rPr>
          <w:sz w:val="20"/>
          <w:lang w:val="fr-FR"/>
        </w:rPr>
        <w:t xml:space="preserve"> de</w:t>
      </w:r>
      <w:r w:rsidR="00981762" w:rsidRPr="00022147">
        <w:rPr>
          <w:sz w:val="20"/>
          <w:lang w:val="fr-FR"/>
        </w:rPr>
        <w:t xml:space="preserve"> </w:t>
      </w:r>
      <w:hyperlink r:id="rId12">
        <w:r w:rsidR="00981762" w:rsidRPr="00022147">
          <w:rPr>
            <w:color w:val="05037E"/>
            <w:sz w:val="20"/>
            <w:u w:val="single" w:color="05037E"/>
            <w:lang w:val="fr-FR"/>
          </w:rPr>
          <w:t xml:space="preserve">sanctions commerciales </w:t>
        </w:r>
      </w:hyperlink>
      <w:r w:rsidRPr="000956E3">
        <w:rPr>
          <w:sz w:val="20"/>
          <w:lang w:val="fr-FR"/>
        </w:rPr>
        <w:t>visant les pays qui refusent les vols d’expulsion.</w:t>
      </w:r>
    </w:p>
    <w:p w14:paraId="27EC29A8" w14:textId="383D11D7" w:rsidR="000956E3" w:rsidRDefault="000956E3">
      <w:pPr>
        <w:pStyle w:val="BodyText"/>
        <w:spacing w:before="171" w:line="288" w:lineRule="auto"/>
        <w:rPr>
          <w:sz w:val="20"/>
          <w:lang w:val="fr-FR"/>
        </w:rPr>
      </w:pPr>
      <w:r w:rsidRPr="000956E3">
        <w:rPr>
          <w:sz w:val="20"/>
          <w:lang w:val="fr-FR"/>
        </w:rPr>
        <w:t>Cela ne vous rappelle rien ?</w:t>
      </w:r>
    </w:p>
    <w:p w14:paraId="02A88AA9" w14:textId="77777777" w:rsidR="0003736E" w:rsidRPr="0003736E" w:rsidRDefault="0003736E" w:rsidP="0003736E">
      <w:pPr>
        <w:pStyle w:val="BodyText"/>
        <w:rPr>
          <w:sz w:val="20"/>
          <w:lang w:val="fr-FR"/>
        </w:rPr>
      </w:pPr>
      <w:r w:rsidRPr="0003736E">
        <w:rPr>
          <w:sz w:val="20"/>
          <w:lang w:val="fr-FR"/>
        </w:rPr>
        <w:t>Peu après son retour au pouvoir, l’administration Trump avait menacé la Colombie de sanctions massives sur ses exportations, afin de la forcer à accepter les vols d’expulsion depuis les États-Unis.</w:t>
      </w:r>
    </w:p>
    <w:p w14:paraId="16DC153E" w14:textId="77777777" w:rsidR="0003736E" w:rsidRPr="0003736E" w:rsidRDefault="0003736E" w:rsidP="0003736E">
      <w:pPr>
        <w:pStyle w:val="BodyText"/>
        <w:rPr>
          <w:sz w:val="20"/>
          <w:lang w:val="fr-FR"/>
        </w:rPr>
      </w:pPr>
    </w:p>
    <w:p w14:paraId="24AC741F" w14:textId="1DBB5F26" w:rsidR="0099685F" w:rsidRPr="00022147" w:rsidRDefault="0003736E">
      <w:pPr>
        <w:pStyle w:val="BodyText"/>
        <w:rPr>
          <w:lang w:val="fr-FR"/>
        </w:rPr>
      </w:pPr>
      <w:r>
        <w:rPr>
          <w:sz w:val="20"/>
          <w:lang w:val="fr-FR"/>
        </w:rPr>
        <w:t>Et c</w:t>
      </w:r>
      <w:r w:rsidR="00981762" w:rsidRPr="00022147">
        <w:rPr>
          <w:sz w:val="20"/>
          <w:lang w:val="fr-FR"/>
        </w:rPr>
        <w:t xml:space="preserve">ela </w:t>
      </w:r>
      <w:hyperlink r:id="rId13">
        <w:r w:rsidR="00981762" w:rsidRPr="00022147">
          <w:rPr>
            <w:color w:val="05037E"/>
            <w:spacing w:val="-2"/>
            <w:sz w:val="20"/>
            <w:u w:val="single" w:color="05037E"/>
            <w:lang w:val="fr-FR"/>
          </w:rPr>
          <w:t>a fonctionné</w:t>
        </w:r>
      </w:hyperlink>
      <w:r w:rsidR="00981762" w:rsidRPr="00022147">
        <w:rPr>
          <w:spacing w:val="-2"/>
          <w:sz w:val="20"/>
          <w:lang w:val="fr-FR"/>
        </w:rPr>
        <w:t>.</w:t>
      </w:r>
    </w:p>
    <w:p w14:paraId="06EF8BCD" w14:textId="77777777" w:rsidR="0099685F" w:rsidRPr="00022147" w:rsidRDefault="00981762">
      <w:pPr>
        <w:pStyle w:val="Heading3"/>
        <w:spacing w:before="171"/>
        <w:rPr>
          <w:lang w:val="fr-FR"/>
        </w:rPr>
      </w:pPr>
      <w:r w:rsidRPr="00022147">
        <w:rPr>
          <w:spacing w:val="-2"/>
          <w:sz w:val="20"/>
          <w:lang w:val="fr-FR"/>
        </w:rPr>
        <w:t xml:space="preserve">Secret </w:t>
      </w:r>
      <w:r w:rsidRPr="00022147">
        <w:rPr>
          <w:sz w:val="20"/>
          <w:lang w:val="fr-FR"/>
        </w:rPr>
        <w:t>absolu</w:t>
      </w:r>
    </w:p>
    <w:p w14:paraId="6E412A4A" w14:textId="2041D662" w:rsidR="0099685F" w:rsidRPr="0003736E" w:rsidRDefault="0003736E" w:rsidP="0003736E">
      <w:pPr>
        <w:pStyle w:val="BodyText"/>
        <w:spacing w:before="170" w:line="288" w:lineRule="auto"/>
        <w:rPr>
          <w:sz w:val="20"/>
          <w:lang w:val="fr-FR"/>
        </w:rPr>
      </w:pPr>
      <w:r w:rsidRPr="0003736E">
        <w:rPr>
          <w:sz w:val="20"/>
          <w:lang w:val="fr-FR"/>
        </w:rPr>
        <w:t>De nombreux admirateurs de Trump au sein des gouvernements européens aimeraient sans doute pouvoir agir de la même manière, avec aut</w:t>
      </w:r>
      <w:r>
        <w:rPr>
          <w:sz w:val="20"/>
          <w:lang w:val="fr-FR"/>
        </w:rPr>
        <w:t xml:space="preserve">ant de rapidité et de latitude. </w:t>
      </w:r>
      <w:r w:rsidRPr="0003736E">
        <w:rPr>
          <w:sz w:val="20"/>
          <w:lang w:val="fr-FR"/>
        </w:rPr>
        <w:t>Mais, au sein de l’UE, il subsiste au moins un semblant de procédure démocratique encadrant</w:t>
      </w:r>
      <w:r>
        <w:rPr>
          <w:sz w:val="20"/>
          <w:lang w:val="fr-FR"/>
        </w:rPr>
        <w:t xml:space="preserve"> ce type de décisions j</w:t>
      </w:r>
      <w:r w:rsidR="00981762" w:rsidRPr="00022147">
        <w:rPr>
          <w:sz w:val="20"/>
          <w:lang w:val="fr-FR"/>
        </w:rPr>
        <w:t xml:space="preserve">usqu'à un certain point, </w:t>
      </w:r>
      <w:r w:rsidR="00981762" w:rsidRPr="00022147">
        <w:rPr>
          <w:spacing w:val="-2"/>
          <w:sz w:val="20"/>
          <w:lang w:val="fr-FR"/>
        </w:rPr>
        <w:t>en tout cas.</w:t>
      </w:r>
    </w:p>
    <w:p w14:paraId="55004C0C" w14:textId="2B48F659" w:rsidR="0099685F" w:rsidRPr="00022147" w:rsidRDefault="00981762">
      <w:pPr>
        <w:pStyle w:val="BodyText"/>
        <w:spacing w:before="170" w:line="288" w:lineRule="auto"/>
        <w:rPr>
          <w:lang w:val="fr-FR"/>
        </w:rPr>
      </w:pPr>
      <w:hyperlink r:id="rId14">
        <w:r w:rsidRPr="00022147">
          <w:rPr>
            <w:color w:val="05037E"/>
            <w:sz w:val="20"/>
            <w:u w:val="single" w:color="05037E"/>
            <w:lang w:val="fr-FR"/>
          </w:rPr>
          <w:t xml:space="preserve">MOCADEM </w:t>
        </w:r>
      </w:hyperlink>
      <w:r w:rsidRPr="00022147">
        <w:rPr>
          <w:sz w:val="20"/>
          <w:lang w:val="fr-FR"/>
        </w:rPr>
        <w:t xml:space="preserve">est </w:t>
      </w:r>
      <w:r w:rsidR="00D83122" w:rsidRPr="00D83122">
        <w:rPr>
          <w:sz w:val="20"/>
          <w:lang w:val="fr-FR"/>
        </w:rPr>
        <w:t>l’entité au sein de laquelle les gouvernements de l’UE coordonnent les politiques d’externalisation des frontiè</w:t>
      </w:r>
      <w:r w:rsidR="00D83122">
        <w:rPr>
          <w:sz w:val="20"/>
          <w:lang w:val="fr-FR"/>
        </w:rPr>
        <w:t>res. Comme l'</w:t>
      </w:r>
      <w:hyperlink r:id="rId15">
        <w:r w:rsidRPr="00022147">
          <w:rPr>
            <w:color w:val="05037E"/>
            <w:sz w:val="20"/>
            <w:u w:val="single" w:color="05037E"/>
            <w:lang w:val="fr-FR"/>
          </w:rPr>
          <w:t xml:space="preserve">a rapporté </w:t>
        </w:r>
        <w:proofErr w:type="spellStart"/>
        <w:r w:rsidR="00D83122" w:rsidRPr="00022147">
          <w:rPr>
            <w:i/>
            <w:sz w:val="20"/>
            <w:lang w:val="fr-FR"/>
          </w:rPr>
          <w:t>Statewatch</w:t>
        </w:r>
        <w:proofErr w:type="spellEnd"/>
        <w:r w:rsidR="00D83122" w:rsidRPr="00022147">
          <w:rPr>
            <w:color w:val="05037E"/>
            <w:sz w:val="20"/>
            <w:u w:val="single" w:color="05037E"/>
            <w:lang w:val="fr-FR"/>
          </w:rPr>
          <w:t xml:space="preserve"> </w:t>
        </w:r>
        <w:r w:rsidRPr="00022147">
          <w:rPr>
            <w:color w:val="05037E"/>
            <w:sz w:val="20"/>
            <w:u w:val="single" w:color="05037E"/>
            <w:lang w:val="fr-FR"/>
          </w:rPr>
          <w:t>en janvier</w:t>
        </w:r>
      </w:hyperlink>
      <w:r w:rsidRPr="00022147">
        <w:rPr>
          <w:sz w:val="20"/>
          <w:lang w:val="fr-FR"/>
        </w:rPr>
        <w:t xml:space="preserve">, </w:t>
      </w:r>
      <w:r w:rsidR="00393CD9" w:rsidRPr="00393CD9">
        <w:rPr>
          <w:sz w:val="20"/>
          <w:lang w:val="fr-FR"/>
        </w:rPr>
        <w:t>la présidence polonaise du Conseil a proposé plusieurs pistes pour améliorer ses méthodes de travail.</w:t>
      </w:r>
    </w:p>
    <w:p w14:paraId="290F731F" w14:textId="05802AD9" w:rsidR="00393CD9" w:rsidRDefault="00393CD9">
      <w:pPr>
        <w:pStyle w:val="BodyText"/>
        <w:spacing w:line="288" w:lineRule="auto"/>
        <w:rPr>
          <w:sz w:val="20"/>
          <w:lang w:val="fr-FR"/>
        </w:rPr>
      </w:pPr>
      <w:r w:rsidRPr="00393CD9">
        <w:rPr>
          <w:sz w:val="20"/>
          <w:lang w:val="fr-FR"/>
        </w:rPr>
        <w:t>Le contrôle parlementaire, en revanche, n’en fait pas partie. À ce jour, aucune forme de contrôle démocratique n’existe sur cette structure.</w:t>
      </w:r>
    </w:p>
    <w:p w14:paraId="6A520FA3" w14:textId="72337E1B" w:rsidR="0099685F" w:rsidRPr="00022147" w:rsidRDefault="00981762" w:rsidP="00393CD9">
      <w:pPr>
        <w:pStyle w:val="BodyText"/>
        <w:spacing w:line="288" w:lineRule="auto"/>
        <w:ind w:right="168"/>
        <w:rPr>
          <w:lang w:val="fr-FR"/>
        </w:rPr>
        <w:sectPr w:rsidR="0099685F" w:rsidRPr="00022147">
          <w:pgSz w:w="11910" w:h="16840"/>
          <w:pgMar w:top="1320" w:right="1417" w:bottom="1960" w:left="1275" w:header="0" w:footer="1766" w:gutter="0"/>
          <w:cols w:space="708"/>
        </w:sectPr>
      </w:pPr>
      <w:r w:rsidRPr="00022147">
        <w:rPr>
          <w:sz w:val="20"/>
          <w:lang w:val="fr-FR"/>
        </w:rPr>
        <w:t xml:space="preserve">Nous espérons que </w:t>
      </w:r>
      <w:hyperlink r:id="rId16">
        <w:r w:rsidR="00393CD9">
          <w:rPr>
            <w:color w:val="05037E"/>
            <w:sz w:val="20"/>
            <w:u w:val="single" w:color="05037E"/>
            <w:lang w:val="fr-FR"/>
          </w:rPr>
          <w:t>les documents du</w:t>
        </w:r>
        <w:r w:rsidRPr="00022147">
          <w:rPr>
            <w:color w:val="05037E"/>
            <w:sz w:val="20"/>
            <w:u w:val="single" w:color="05037E"/>
            <w:lang w:val="fr-FR"/>
          </w:rPr>
          <w:t xml:space="preserve"> MOCADEM publiés avec ce bulletin </w:t>
        </w:r>
      </w:hyperlink>
      <w:r w:rsidRPr="00022147">
        <w:rPr>
          <w:sz w:val="20"/>
          <w:lang w:val="fr-FR"/>
        </w:rPr>
        <w:t xml:space="preserve">contribueront </w:t>
      </w:r>
      <w:r w:rsidR="00393CD9">
        <w:rPr>
          <w:lang w:val="fr-FR"/>
        </w:rPr>
        <w:t xml:space="preserve"> </w:t>
      </w:r>
      <w:r w:rsidR="00393CD9" w:rsidRPr="00393CD9">
        <w:rPr>
          <w:lang w:val="fr-FR"/>
        </w:rPr>
        <w:t>à renforcer, au minimum, la transparence de ses activités.</w:t>
      </w:r>
    </w:p>
    <w:p w14:paraId="692ED1A7" w14:textId="7AACD0AD" w:rsidR="0099685F" w:rsidRPr="00022147" w:rsidRDefault="00372D58">
      <w:pPr>
        <w:pStyle w:val="Heading3"/>
        <w:spacing w:before="79"/>
        <w:rPr>
          <w:lang w:val="fr-FR"/>
        </w:rPr>
      </w:pPr>
      <w:r w:rsidRPr="00372D58">
        <w:rPr>
          <w:spacing w:val="-5"/>
          <w:sz w:val="20"/>
          <w:lang w:val="fr-FR"/>
        </w:rPr>
        <w:lastRenderedPageBreak/>
        <w:t>Contrôle des frontières : de l’intérieur vers l’extérieur, de l’extérieur vers l’intérieur</w:t>
      </w:r>
    </w:p>
    <w:p w14:paraId="65DB008D" w14:textId="0FE9048A" w:rsidR="00372D58" w:rsidRPr="00372D58" w:rsidRDefault="00372D58" w:rsidP="00372D58">
      <w:pPr>
        <w:pStyle w:val="BodyText"/>
        <w:spacing w:before="170" w:line="288" w:lineRule="auto"/>
        <w:rPr>
          <w:sz w:val="20"/>
          <w:lang w:val="fr-FR"/>
        </w:rPr>
      </w:pPr>
      <w:r w:rsidRPr="00372D58">
        <w:rPr>
          <w:sz w:val="20"/>
          <w:lang w:val="fr-FR"/>
        </w:rPr>
        <w:t>À Bruxelles, les représentants des États membres discutent activement de leurs ambitions pour une nouvelle législation e</w:t>
      </w:r>
      <w:r>
        <w:rPr>
          <w:sz w:val="20"/>
          <w:lang w:val="fr-FR"/>
        </w:rPr>
        <w:t>uropéenne sur les déportations.</w:t>
      </w:r>
    </w:p>
    <w:p w14:paraId="2A0F6150" w14:textId="4AFC8B6A" w:rsidR="00372D58" w:rsidRPr="00372D58" w:rsidRDefault="00372D58" w:rsidP="00372D58">
      <w:pPr>
        <w:pStyle w:val="BodyText"/>
        <w:spacing w:before="170" w:line="288" w:lineRule="auto"/>
        <w:rPr>
          <w:sz w:val="20"/>
          <w:lang w:val="fr-FR"/>
        </w:rPr>
      </w:pPr>
      <w:r w:rsidRPr="00372D58">
        <w:rPr>
          <w:sz w:val="20"/>
          <w:lang w:val="fr-FR"/>
        </w:rPr>
        <w:t>Un document de discussion émanant de la présidence polonaise souligne un point central : l’augmentation des expulsions dépend étroitement de la coopération</w:t>
      </w:r>
      <w:r>
        <w:rPr>
          <w:sz w:val="20"/>
          <w:lang w:val="fr-FR"/>
        </w:rPr>
        <w:t xml:space="preserve"> des États non membres de l’UE.</w:t>
      </w:r>
    </w:p>
    <w:p w14:paraId="60E32B06" w14:textId="3E5B5AEC" w:rsidR="00372D58" w:rsidRPr="00372D58" w:rsidRDefault="00372D58" w:rsidP="00372D58">
      <w:pPr>
        <w:pStyle w:val="BodyText"/>
        <w:spacing w:before="170" w:line="288" w:lineRule="auto"/>
        <w:rPr>
          <w:sz w:val="20"/>
          <w:lang w:val="fr-FR"/>
        </w:rPr>
      </w:pPr>
      <w:r w:rsidRPr="00372D58">
        <w:rPr>
          <w:sz w:val="20"/>
          <w:lang w:val="fr-FR"/>
        </w:rPr>
        <w:t>Autrement dit, les politiques dites « internes » ont des dépendances et des répercussions profondément « externes » — un constat également confirmé par d’autres docu</w:t>
      </w:r>
      <w:r>
        <w:rPr>
          <w:sz w:val="20"/>
          <w:lang w:val="fr-FR"/>
        </w:rPr>
        <w:t>ments publiés avec ce bulletin.</w:t>
      </w:r>
    </w:p>
    <w:p w14:paraId="576E9713" w14:textId="14E042A0" w:rsidR="00372D58" w:rsidRPr="00372D58" w:rsidRDefault="00372D58" w:rsidP="00372D58">
      <w:pPr>
        <w:pStyle w:val="BodyText"/>
        <w:spacing w:before="170" w:line="288" w:lineRule="auto"/>
        <w:rPr>
          <w:sz w:val="20"/>
          <w:lang w:val="fr-FR"/>
        </w:rPr>
      </w:pPr>
      <w:r w:rsidRPr="00372D58">
        <w:rPr>
          <w:sz w:val="20"/>
          <w:lang w:val="fr-FR"/>
        </w:rPr>
        <w:t xml:space="preserve">Par exemple, la Pologne propose de déployer des officiers de liaison « migration » en Turquie et aux Émirats arabes unis, officiellement pour lutter contre l’« instrumentalisation </w:t>
      </w:r>
      <w:r>
        <w:rPr>
          <w:sz w:val="20"/>
          <w:lang w:val="fr-FR"/>
        </w:rPr>
        <w:t>» de la migration. L’objectif est d’</w:t>
      </w:r>
      <w:r w:rsidRPr="00372D58">
        <w:rPr>
          <w:sz w:val="20"/>
          <w:lang w:val="fr-FR"/>
        </w:rPr>
        <w:t>empêcher certains migrants d’att</w:t>
      </w:r>
      <w:r>
        <w:rPr>
          <w:sz w:val="20"/>
          <w:lang w:val="fr-FR"/>
        </w:rPr>
        <w:t>eindre la Russie ou le Belarus.</w:t>
      </w:r>
    </w:p>
    <w:p w14:paraId="3961BAA5" w14:textId="7F99136A" w:rsidR="00372D58" w:rsidRPr="00372D58" w:rsidRDefault="00372D58" w:rsidP="00372D58">
      <w:pPr>
        <w:pStyle w:val="BodyText"/>
        <w:spacing w:before="170" w:line="288" w:lineRule="auto"/>
        <w:rPr>
          <w:sz w:val="20"/>
          <w:lang w:val="fr-FR"/>
        </w:rPr>
      </w:pPr>
      <w:r w:rsidRPr="00372D58">
        <w:rPr>
          <w:sz w:val="20"/>
          <w:lang w:val="fr-FR"/>
        </w:rPr>
        <w:t xml:space="preserve">Parallèlement, l’UE travaille sur des projets de camps d’expulsion dans des pays tiers, euphémiquement désignés comme « centres de retour </w:t>
      </w:r>
      <w:r>
        <w:rPr>
          <w:sz w:val="20"/>
          <w:lang w:val="fr-FR"/>
        </w:rPr>
        <w:t>».</w:t>
      </w:r>
    </w:p>
    <w:p w14:paraId="26F4A28F" w14:textId="75421166" w:rsidR="00372D58" w:rsidRDefault="00372D58" w:rsidP="00372D58">
      <w:pPr>
        <w:pStyle w:val="BodyText"/>
        <w:spacing w:before="170" w:line="288" w:lineRule="auto"/>
        <w:rPr>
          <w:sz w:val="20"/>
          <w:lang w:val="fr-FR"/>
        </w:rPr>
      </w:pPr>
      <w:r w:rsidRPr="00372D58">
        <w:rPr>
          <w:sz w:val="20"/>
          <w:lang w:val="fr-FR"/>
        </w:rPr>
        <w:t>Cela peut sembler évident, mais il est essentiel de le rappeler : l’externalisation des contrôles migratoires est étroitement liée aux dynamiques politiques internes de l’Union européenne, ainsi qu’à celles opérant à ses frontières extérieures.</w:t>
      </w:r>
    </w:p>
    <w:p w14:paraId="2468CBFC" w14:textId="77777777" w:rsidR="00372D58" w:rsidRDefault="00372D58">
      <w:pPr>
        <w:pStyle w:val="BodyText"/>
        <w:spacing w:before="170" w:line="288" w:lineRule="auto"/>
        <w:rPr>
          <w:sz w:val="20"/>
          <w:lang w:val="fr-FR"/>
        </w:rPr>
      </w:pPr>
    </w:p>
    <w:p w14:paraId="632EF9F3" w14:textId="77777777" w:rsidR="0099685F" w:rsidRPr="00022147" w:rsidRDefault="00981762">
      <w:pPr>
        <w:pStyle w:val="Heading3"/>
        <w:rPr>
          <w:lang w:val="fr-FR"/>
        </w:rPr>
      </w:pPr>
      <w:r w:rsidRPr="00022147">
        <w:rPr>
          <w:sz w:val="20"/>
          <w:lang w:val="fr-FR"/>
        </w:rPr>
        <w:t>Frontex en dehors de l'</w:t>
      </w:r>
      <w:r w:rsidRPr="00022147">
        <w:rPr>
          <w:spacing w:val="-5"/>
          <w:sz w:val="20"/>
          <w:lang w:val="fr-FR"/>
        </w:rPr>
        <w:t>UE</w:t>
      </w:r>
    </w:p>
    <w:p w14:paraId="587949AE" w14:textId="12EFDA04" w:rsidR="00AC3EE3" w:rsidRDefault="00AC3EE3">
      <w:pPr>
        <w:pStyle w:val="BodyText"/>
        <w:spacing w:before="169" w:line="288" w:lineRule="auto"/>
        <w:ind w:right="34"/>
        <w:rPr>
          <w:sz w:val="20"/>
          <w:lang w:val="fr-FR"/>
        </w:rPr>
      </w:pPr>
      <w:r w:rsidRPr="00AC3EE3">
        <w:rPr>
          <w:sz w:val="20"/>
          <w:lang w:val="fr-FR"/>
        </w:rPr>
        <w:t>Les responsables politiques et les fonctionnaires en sont parfaitement conscients. C’est pourquoi Frontex a progressivement étendu ses opérations, ses contacts et ses initiatives dans des pays allant du Maroc à la Moldavie.</w:t>
      </w:r>
    </w:p>
    <w:p w14:paraId="6BF1309F" w14:textId="5968B4C4" w:rsidR="0099685F" w:rsidRPr="00022147" w:rsidRDefault="00AC3EE3" w:rsidP="00AC3EE3">
      <w:pPr>
        <w:pStyle w:val="BodyText"/>
        <w:spacing w:before="121" w:line="288" w:lineRule="auto"/>
        <w:rPr>
          <w:lang w:val="fr-FR"/>
        </w:rPr>
      </w:pPr>
      <w:r w:rsidRPr="00AC3EE3">
        <w:rPr>
          <w:sz w:val="20"/>
          <w:lang w:val="fr-FR"/>
        </w:rPr>
        <w:t>Le rapport annuel de l’agence sur la coopération avec les p</w:t>
      </w:r>
      <w:r>
        <w:rPr>
          <w:sz w:val="20"/>
          <w:lang w:val="fr-FR"/>
        </w:rPr>
        <w:t xml:space="preserve">ays dits « tiers », </w:t>
      </w:r>
      <w:hyperlink r:id="rId17">
        <w:r>
          <w:rPr>
            <w:color w:val="05037E"/>
            <w:sz w:val="20"/>
            <w:u w:val="single" w:color="05037E"/>
            <w:lang w:val="fr-FR"/>
          </w:rPr>
          <w:t>analys</w:t>
        </w:r>
        <w:r w:rsidR="00981762" w:rsidRPr="00022147">
          <w:rPr>
            <w:color w:val="05037E"/>
            <w:sz w:val="20"/>
            <w:u w:val="single" w:color="05037E"/>
            <w:lang w:val="fr-FR"/>
          </w:rPr>
          <w:t xml:space="preserve">é dans ce </w:t>
        </w:r>
      </w:hyperlink>
      <w:r>
        <w:rPr>
          <w:color w:val="05037E"/>
          <w:spacing w:val="-2"/>
          <w:sz w:val="20"/>
          <w:u w:val="single" w:color="05037E"/>
          <w:lang w:val="fr-FR"/>
        </w:rPr>
        <w:t>bulletin</w:t>
      </w:r>
      <w:r>
        <w:rPr>
          <w:lang w:val="fr-FR"/>
        </w:rPr>
        <w:t xml:space="preserve"> </w:t>
      </w:r>
      <w:r w:rsidRPr="00AC3EE3">
        <w:rPr>
          <w:sz w:val="20"/>
          <w:lang w:val="fr-FR"/>
        </w:rPr>
        <w:t>illustre cette ingérence croissante dans les affaires des États non membres de l’UE, ainsi qu’une implication directe dans leurs politiques migratoires. Ce processus s’est sans doute accéléré après 2023, période couverte par le rapport.</w:t>
      </w:r>
    </w:p>
    <w:p w14:paraId="1EE32C10" w14:textId="1C9BACF8" w:rsidR="0099685F" w:rsidRPr="00022147" w:rsidRDefault="00AC3EE3">
      <w:pPr>
        <w:pStyle w:val="BodyText"/>
        <w:spacing w:line="288" w:lineRule="auto"/>
        <w:rPr>
          <w:lang w:val="fr-FR"/>
        </w:rPr>
      </w:pPr>
      <w:r w:rsidRPr="00AC3EE3">
        <w:rPr>
          <w:sz w:val="20"/>
          <w:lang w:val="fr-FR"/>
        </w:rPr>
        <w:t>Pour la première fois, nous proposons</w:t>
      </w:r>
      <w:r w:rsidR="00981762" w:rsidRPr="00022147">
        <w:rPr>
          <w:sz w:val="20"/>
          <w:lang w:val="fr-FR"/>
        </w:rPr>
        <w:t xml:space="preserve"> des </w:t>
      </w:r>
      <w:hyperlink r:id="rId18">
        <w:r w:rsidR="00981762" w:rsidRPr="00022147">
          <w:rPr>
            <w:color w:val="05037E"/>
            <w:sz w:val="20"/>
            <w:u w:val="single" w:color="05037E"/>
            <w:lang w:val="fr-FR"/>
          </w:rPr>
          <w:t xml:space="preserve">mises à jour sur la jurisprudence relative </w:t>
        </w:r>
      </w:hyperlink>
      <w:hyperlink r:id="rId19">
        <w:r w:rsidR="00981762" w:rsidRPr="00022147">
          <w:rPr>
            <w:color w:val="05037E"/>
            <w:sz w:val="20"/>
            <w:u w:val="single" w:color="05037E"/>
            <w:lang w:val="fr-FR"/>
          </w:rPr>
          <w:t>à l'externalisation des contrôles aux frontières</w:t>
        </w:r>
      </w:hyperlink>
      <w:r w:rsidR="00981762" w:rsidRPr="00022147">
        <w:rPr>
          <w:sz w:val="20"/>
          <w:lang w:val="fr-FR"/>
        </w:rPr>
        <w:t xml:space="preserve">. Ces informations sont fournies par les membres du </w:t>
      </w:r>
      <w:hyperlink r:id="rId20">
        <w:r w:rsidR="00981762" w:rsidRPr="00022147">
          <w:rPr>
            <w:color w:val="05037E"/>
            <w:sz w:val="20"/>
            <w:u w:val="single" w:color="05037E"/>
            <w:lang w:val="fr-FR"/>
          </w:rPr>
          <w:t xml:space="preserve">groupe de travail sur l'externalisation de l'Initiative sur le </w:t>
        </w:r>
      </w:hyperlink>
      <w:hyperlink r:id="rId21">
        <w:r w:rsidR="00981762" w:rsidRPr="00022147">
          <w:rPr>
            <w:color w:val="05037E"/>
            <w:sz w:val="20"/>
            <w:u w:val="single" w:color="05037E"/>
            <w:lang w:val="fr-FR"/>
          </w:rPr>
          <w:t>droit des réfugiés</w:t>
        </w:r>
      </w:hyperlink>
      <w:r w:rsidR="00981762" w:rsidRPr="00022147">
        <w:rPr>
          <w:sz w:val="20"/>
          <w:lang w:val="fr-FR"/>
        </w:rPr>
        <w:t>.</w:t>
      </w:r>
    </w:p>
    <w:p w14:paraId="7D723678" w14:textId="55D697EA" w:rsidR="00C02A78" w:rsidRDefault="00C02A78" w:rsidP="00C02A78">
      <w:pPr>
        <w:pStyle w:val="BodyText"/>
        <w:spacing w:line="288" w:lineRule="auto"/>
        <w:ind w:right="387"/>
        <w:jc w:val="both"/>
        <w:rPr>
          <w:sz w:val="20"/>
          <w:lang w:val="fr-FR"/>
        </w:rPr>
      </w:pPr>
      <w:r w:rsidRPr="00C02A78">
        <w:rPr>
          <w:sz w:val="20"/>
          <w:lang w:val="fr-FR"/>
        </w:rPr>
        <w:t>Le retour de Donald Trump sur la scène politique mondiale a redonné de l’élan à ses partisans, y compris en Europe. Ces acteurs chercheront à poursuivre et intensifier les initiatives abordées dans ce</w:t>
      </w:r>
      <w:r>
        <w:rPr>
          <w:sz w:val="20"/>
          <w:lang w:val="fr-FR"/>
        </w:rPr>
        <w:t xml:space="preserve"> bulletin, parmi bien d’autres. </w:t>
      </w:r>
      <w:r w:rsidRPr="00C02A78">
        <w:rPr>
          <w:sz w:val="20"/>
          <w:lang w:val="fr-FR"/>
        </w:rPr>
        <w:t>La question demeure : comment les arrêter ?</w:t>
      </w:r>
    </w:p>
    <w:p w14:paraId="7DFD51AF" w14:textId="77777777" w:rsidR="0099685F" w:rsidRPr="00022147" w:rsidRDefault="0099685F">
      <w:pPr>
        <w:pStyle w:val="BodyText"/>
        <w:spacing w:line="288" w:lineRule="auto"/>
        <w:jc w:val="both"/>
        <w:rPr>
          <w:lang w:val="fr-FR"/>
        </w:rPr>
        <w:sectPr w:rsidR="0099685F" w:rsidRPr="00022147">
          <w:pgSz w:w="11910" w:h="16840"/>
          <w:pgMar w:top="1320" w:right="1417" w:bottom="1960" w:left="1275" w:header="0" w:footer="1766" w:gutter="0"/>
          <w:cols w:space="708"/>
        </w:sectPr>
      </w:pPr>
    </w:p>
    <w:p w14:paraId="7A3396BD" w14:textId="77777777" w:rsidR="0099685F" w:rsidRPr="00022147" w:rsidRDefault="00981762">
      <w:pPr>
        <w:pStyle w:val="Heading1"/>
        <w:rPr>
          <w:lang w:val="fr-FR"/>
        </w:rPr>
      </w:pPr>
      <w:bookmarkStart w:id="2" w:name="Thematic_and_regional_developments"/>
      <w:bookmarkStart w:id="3" w:name="_bookmark1"/>
      <w:bookmarkEnd w:id="2"/>
      <w:bookmarkEnd w:id="3"/>
      <w:r w:rsidRPr="00022147">
        <w:rPr>
          <w:spacing w:val="-2"/>
          <w:sz w:val="26"/>
          <w:lang w:val="fr-FR"/>
        </w:rPr>
        <w:lastRenderedPageBreak/>
        <w:t xml:space="preserve">Développements </w:t>
      </w:r>
      <w:r w:rsidRPr="00022147">
        <w:rPr>
          <w:sz w:val="26"/>
          <w:lang w:val="fr-FR"/>
        </w:rPr>
        <w:t>thématiques et régionaux</w:t>
      </w:r>
    </w:p>
    <w:p w14:paraId="282ACDB8" w14:textId="0BA0C3BE" w:rsidR="0099685F" w:rsidRPr="00C02A78" w:rsidRDefault="00C02A78" w:rsidP="00C02A78">
      <w:pPr>
        <w:pStyle w:val="BodyText"/>
        <w:spacing w:before="184" w:line="288" w:lineRule="auto"/>
        <w:rPr>
          <w:sz w:val="20"/>
          <w:lang w:val="fr-FR"/>
        </w:rPr>
      </w:pPr>
      <w:r w:rsidRPr="00C02A78">
        <w:rPr>
          <w:sz w:val="20"/>
          <w:lang w:val="fr-FR"/>
        </w:rPr>
        <w:t>Tous les documents résumés ici, ainsi que ceux publiés dans les éditions précédentes du bulletin, sont disponibles dans nos</w:t>
      </w:r>
      <w:r>
        <w:rPr>
          <w:sz w:val="20"/>
          <w:lang w:val="fr-FR"/>
        </w:rPr>
        <w:t xml:space="preserve"> </w:t>
      </w:r>
      <w:hyperlink r:id="rId22">
        <w:r w:rsidR="00981762">
          <w:rPr>
            <w:color w:val="05037E"/>
            <w:sz w:val="20"/>
            <w:u w:val="single" w:color="05037E"/>
          </w:rPr>
          <w:t xml:space="preserve">archives </w:t>
        </w:r>
        <w:proofErr w:type="spellStart"/>
        <w:r w:rsidR="00981762">
          <w:rPr>
            <w:color w:val="05037E"/>
            <w:sz w:val="20"/>
            <w:u w:val="single" w:color="05037E"/>
          </w:rPr>
          <w:t>documentaires</w:t>
        </w:r>
        <w:proofErr w:type="spellEnd"/>
      </w:hyperlink>
    </w:p>
    <w:p w14:paraId="0D22C578" w14:textId="77777777" w:rsidR="0099685F" w:rsidRDefault="00981762">
      <w:pPr>
        <w:pStyle w:val="Heading3"/>
      </w:pPr>
      <w:proofErr w:type="spellStart"/>
      <w:r>
        <w:rPr>
          <w:spacing w:val="-2"/>
          <w:sz w:val="20"/>
        </w:rPr>
        <w:t>Contenu</w:t>
      </w:r>
      <w:proofErr w:type="spellEnd"/>
    </w:p>
    <w:p w14:paraId="09FE33DC" w14:textId="77777777" w:rsidR="0099685F" w:rsidRDefault="00981762">
      <w:pPr>
        <w:pStyle w:val="ListParagraph"/>
        <w:numPr>
          <w:ilvl w:val="0"/>
          <w:numId w:val="2"/>
        </w:numPr>
        <w:tabs>
          <w:tab w:val="left" w:pos="862"/>
        </w:tabs>
        <w:spacing w:before="171"/>
        <w:rPr>
          <w:rFonts w:ascii="Calibri" w:hAnsi="Calibri"/>
          <w:sz w:val="20"/>
        </w:rPr>
      </w:pPr>
      <w:hyperlink w:anchor="_bookmark2" w:history="1">
        <w:r>
          <w:rPr>
            <w:color w:val="05037E"/>
            <w:spacing w:val="-2"/>
            <w:sz w:val="20"/>
            <w:u w:val="single" w:color="05037E"/>
          </w:rPr>
          <w:t xml:space="preserve">Gestion des </w:t>
        </w:r>
        <w:proofErr w:type="spellStart"/>
        <w:r>
          <w:rPr>
            <w:color w:val="05037E"/>
            <w:sz w:val="20"/>
            <w:u w:val="single" w:color="05037E"/>
          </w:rPr>
          <w:t>frontières</w:t>
        </w:r>
        <w:proofErr w:type="spellEnd"/>
      </w:hyperlink>
    </w:p>
    <w:p w14:paraId="7818394A" w14:textId="77777777" w:rsidR="0099685F" w:rsidRDefault="00981762">
      <w:pPr>
        <w:pStyle w:val="ListParagraph"/>
        <w:numPr>
          <w:ilvl w:val="0"/>
          <w:numId w:val="2"/>
        </w:numPr>
        <w:tabs>
          <w:tab w:val="left" w:pos="862"/>
        </w:tabs>
        <w:spacing w:before="163"/>
        <w:rPr>
          <w:rFonts w:ascii="Calibri" w:hAnsi="Calibri"/>
          <w:sz w:val="20"/>
        </w:rPr>
      </w:pPr>
      <w:hyperlink w:anchor="_bookmark3" w:history="1">
        <w:r>
          <w:rPr>
            <w:color w:val="05037E"/>
            <w:sz w:val="20"/>
            <w:u w:val="single" w:color="05037E"/>
          </w:rPr>
          <w:t xml:space="preserve">Budgets et </w:t>
        </w:r>
        <w:proofErr w:type="spellStart"/>
        <w:r>
          <w:rPr>
            <w:color w:val="05037E"/>
            <w:spacing w:val="-2"/>
            <w:sz w:val="20"/>
            <w:u w:val="single" w:color="05037E"/>
          </w:rPr>
          <w:t>financement</w:t>
        </w:r>
        <w:proofErr w:type="spellEnd"/>
      </w:hyperlink>
    </w:p>
    <w:p w14:paraId="545AB8D4" w14:textId="77777777" w:rsidR="0099685F" w:rsidRDefault="00981762">
      <w:pPr>
        <w:pStyle w:val="ListParagraph"/>
        <w:numPr>
          <w:ilvl w:val="0"/>
          <w:numId w:val="2"/>
        </w:numPr>
        <w:tabs>
          <w:tab w:val="left" w:pos="862"/>
        </w:tabs>
        <w:spacing w:before="164"/>
        <w:rPr>
          <w:rFonts w:ascii="Calibri" w:hAnsi="Calibri"/>
          <w:sz w:val="20"/>
        </w:rPr>
      </w:pPr>
      <w:hyperlink w:anchor="_bookmark4" w:history="1">
        <w:r>
          <w:rPr>
            <w:color w:val="05037E"/>
            <w:sz w:val="20"/>
            <w:u w:val="single" w:color="05037E"/>
          </w:rPr>
          <w:t xml:space="preserve">Expulsion et </w:t>
        </w:r>
        <w:proofErr w:type="spellStart"/>
        <w:r>
          <w:rPr>
            <w:color w:val="05037E"/>
            <w:spacing w:val="-2"/>
            <w:sz w:val="20"/>
            <w:u w:val="single" w:color="05037E"/>
          </w:rPr>
          <w:t>réadmission</w:t>
        </w:r>
        <w:proofErr w:type="spellEnd"/>
      </w:hyperlink>
    </w:p>
    <w:p w14:paraId="37717B0D" w14:textId="77777777" w:rsidR="0099685F" w:rsidRDefault="00981762">
      <w:pPr>
        <w:pStyle w:val="ListParagraph"/>
        <w:numPr>
          <w:ilvl w:val="0"/>
          <w:numId w:val="2"/>
        </w:numPr>
        <w:tabs>
          <w:tab w:val="left" w:pos="862"/>
        </w:tabs>
        <w:spacing w:before="163"/>
        <w:rPr>
          <w:rFonts w:ascii="Calibri" w:hAnsi="Calibri"/>
          <w:sz w:val="20"/>
        </w:rPr>
      </w:pPr>
      <w:hyperlink w:anchor="_bookmark5" w:history="1">
        <w:proofErr w:type="spellStart"/>
        <w:r>
          <w:rPr>
            <w:color w:val="05037E"/>
            <w:spacing w:val="-2"/>
            <w:sz w:val="20"/>
            <w:u w:val="single" w:color="05037E"/>
          </w:rPr>
          <w:t>Partenariats</w:t>
        </w:r>
        <w:proofErr w:type="spellEnd"/>
        <w:r>
          <w:rPr>
            <w:color w:val="05037E"/>
            <w:spacing w:val="-2"/>
            <w:sz w:val="20"/>
            <w:u w:val="single" w:color="05037E"/>
          </w:rPr>
          <w:t xml:space="preserve"> </w:t>
        </w:r>
        <w:proofErr w:type="spellStart"/>
        <w:r>
          <w:rPr>
            <w:color w:val="05037E"/>
            <w:sz w:val="20"/>
            <w:u w:val="single" w:color="05037E"/>
          </w:rPr>
          <w:t>migratoires</w:t>
        </w:r>
        <w:proofErr w:type="spellEnd"/>
      </w:hyperlink>
    </w:p>
    <w:p w14:paraId="178A79FE" w14:textId="77777777" w:rsidR="0099685F" w:rsidRDefault="00981762">
      <w:pPr>
        <w:pStyle w:val="ListParagraph"/>
        <w:numPr>
          <w:ilvl w:val="0"/>
          <w:numId w:val="2"/>
        </w:numPr>
        <w:tabs>
          <w:tab w:val="left" w:pos="862"/>
        </w:tabs>
        <w:spacing w:before="164"/>
        <w:rPr>
          <w:rFonts w:ascii="Calibri" w:hAnsi="Calibri"/>
          <w:sz w:val="20"/>
        </w:rPr>
      </w:pPr>
      <w:hyperlink w:anchor="_bookmark6" w:history="1">
        <w:proofErr w:type="spellStart"/>
        <w:r>
          <w:rPr>
            <w:color w:val="05037E"/>
            <w:spacing w:val="-2"/>
            <w:sz w:val="20"/>
            <w:u w:val="single" w:color="05037E"/>
          </w:rPr>
          <w:t>Autres</w:t>
        </w:r>
        <w:proofErr w:type="spellEnd"/>
      </w:hyperlink>
    </w:p>
    <w:p w14:paraId="3676B7B3" w14:textId="77777777" w:rsidR="0099685F" w:rsidRDefault="0099685F">
      <w:pPr>
        <w:pStyle w:val="BodyText"/>
        <w:spacing w:before="104"/>
        <w:ind w:left="0"/>
        <w:rPr>
          <w:sz w:val="26"/>
        </w:rPr>
      </w:pPr>
    </w:p>
    <w:p w14:paraId="0372313D" w14:textId="77777777" w:rsidR="0099685F" w:rsidRDefault="00981762">
      <w:pPr>
        <w:pStyle w:val="Heading2"/>
      </w:pPr>
      <w:bookmarkStart w:id="4" w:name="Border_management"/>
      <w:bookmarkStart w:id="5" w:name="_bookmark2"/>
      <w:bookmarkEnd w:id="4"/>
      <w:bookmarkEnd w:id="5"/>
      <w:r>
        <w:rPr>
          <w:spacing w:val="-2"/>
          <w:sz w:val="24"/>
        </w:rPr>
        <w:t xml:space="preserve">Gestion des </w:t>
      </w:r>
      <w:proofErr w:type="spellStart"/>
      <w:r>
        <w:rPr>
          <w:sz w:val="24"/>
        </w:rPr>
        <w:t>frontières</w:t>
      </w:r>
      <w:proofErr w:type="spellEnd"/>
    </w:p>
    <w:p w14:paraId="4ED79127" w14:textId="5CECB82F" w:rsidR="0099685F" w:rsidRPr="00022147" w:rsidRDefault="00C02A78">
      <w:pPr>
        <w:pStyle w:val="BodyText"/>
        <w:spacing w:before="180" w:line="259" w:lineRule="auto"/>
        <w:rPr>
          <w:lang w:val="fr-FR"/>
        </w:rPr>
      </w:pPr>
      <w:r>
        <w:rPr>
          <w:sz w:val="20"/>
          <w:lang w:val="fr-FR"/>
        </w:rPr>
        <w:t>L’</w:t>
      </w:r>
      <w:hyperlink r:id="rId23">
        <w:r w:rsidR="00981762" w:rsidRPr="00022147">
          <w:rPr>
            <w:color w:val="05037E"/>
            <w:sz w:val="20"/>
            <w:u w:val="single" w:color="05037E"/>
            <w:lang w:val="fr-FR"/>
          </w:rPr>
          <w:t>analyse des risques de</w:t>
        </w:r>
        <w:r>
          <w:rPr>
            <w:color w:val="05037E"/>
            <w:sz w:val="20"/>
            <w:u w:val="single" w:color="05037E"/>
            <w:lang w:val="fr-FR"/>
          </w:rPr>
          <w:t xml:space="preserve"> Frontex</w:t>
        </w:r>
        <w:r w:rsidR="00981762" w:rsidRPr="00022147">
          <w:rPr>
            <w:color w:val="05037E"/>
            <w:sz w:val="20"/>
            <w:u w:val="single" w:color="05037E"/>
            <w:lang w:val="fr-FR"/>
          </w:rPr>
          <w:t xml:space="preserve"> pour la période 2024-25 </w:t>
        </w:r>
      </w:hyperlink>
      <w:r w:rsidR="00981762" w:rsidRPr="00022147">
        <w:rPr>
          <w:sz w:val="20"/>
          <w:lang w:val="fr-FR"/>
        </w:rPr>
        <w:t xml:space="preserve">(WK 9683/2024) </w:t>
      </w:r>
      <w:r w:rsidRPr="00C02A78">
        <w:rPr>
          <w:sz w:val="20"/>
          <w:lang w:val="fr-FR"/>
        </w:rPr>
        <w:t>souligne que la multiplication des murs et clôtures frontaliers peut détourner la pression migratoire vers des points de passage officiels ou des routes maritimes, rendant les trajectoires migratoires plus dangereuses.</w:t>
      </w:r>
    </w:p>
    <w:p w14:paraId="3EE87483" w14:textId="24DC0D7B" w:rsidR="0099685F" w:rsidRPr="00C02A78" w:rsidRDefault="00C02A78" w:rsidP="00C02A78">
      <w:pPr>
        <w:pStyle w:val="BodyText"/>
        <w:spacing w:before="159" w:line="259" w:lineRule="auto"/>
        <w:ind w:right="168"/>
        <w:rPr>
          <w:spacing w:val="-2"/>
          <w:sz w:val="20"/>
          <w:lang w:val="fr-FR"/>
        </w:rPr>
      </w:pPr>
      <w:r>
        <w:rPr>
          <w:sz w:val="20"/>
          <w:lang w:val="fr-FR"/>
        </w:rPr>
        <w:t>D</w:t>
      </w:r>
      <w:r w:rsidR="00981762" w:rsidRPr="00022147">
        <w:rPr>
          <w:sz w:val="20"/>
          <w:lang w:val="fr-FR"/>
        </w:rPr>
        <w:t xml:space="preserve">ans </w:t>
      </w:r>
      <w:hyperlink r:id="rId24">
        <w:r w:rsidR="00981762" w:rsidRPr="00022147">
          <w:rPr>
            <w:color w:val="05037E"/>
            <w:sz w:val="20"/>
            <w:u w:val="single" w:color="05037E"/>
            <w:lang w:val="fr-FR"/>
          </w:rPr>
          <w:t>un document de discussion</w:t>
        </w:r>
        <w:r w:rsidR="008549AC">
          <w:rPr>
            <w:color w:val="05037E"/>
            <w:sz w:val="20"/>
            <w:u w:val="single" w:color="05037E"/>
            <w:lang w:val="fr-FR"/>
          </w:rPr>
          <w:t xml:space="preserve"> d’octobre 202</w:t>
        </w:r>
        <w:r w:rsidR="00981762" w:rsidRPr="00022147">
          <w:rPr>
            <w:color w:val="05037E"/>
            <w:sz w:val="20"/>
            <w:u w:val="single" w:color="05037E"/>
            <w:lang w:val="fr-FR"/>
          </w:rPr>
          <w:t xml:space="preserve"> </w:t>
        </w:r>
      </w:hyperlink>
      <w:r>
        <w:rPr>
          <w:spacing w:val="-2"/>
          <w:sz w:val="20"/>
          <w:lang w:val="fr-FR"/>
        </w:rPr>
        <w:t xml:space="preserve">(14103/24), </w:t>
      </w:r>
      <w:r w:rsidRPr="00C02A78">
        <w:rPr>
          <w:spacing w:val="-2"/>
          <w:sz w:val="20"/>
          <w:lang w:val="fr-FR"/>
        </w:rPr>
        <w:t>la présidence hongroise du Conseil suggère que les missions de la politique étrangère de l’UE (dans le cadre de la politique de sécurité et de défense commune – PSDC) pourraient passer d’une gestion civile des crises à une implication plus directe dans le contrôle des migrations.</w:t>
      </w:r>
    </w:p>
    <w:p w14:paraId="76CA9C47" w14:textId="75AB6707" w:rsidR="0099685F" w:rsidRPr="00022147" w:rsidRDefault="008549AC">
      <w:pPr>
        <w:pStyle w:val="BodyText"/>
        <w:spacing w:before="159" w:line="259" w:lineRule="auto"/>
        <w:ind w:right="168"/>
        <w:rPr>
          <w:lang w:val="fr-FR"/>
        </w:rPr>
      </w:pPr>
      <w:hyperlink r:id="rId25">
        <w:r>
          <w:rPr>
            <w:color w:val="05037E"/>
            <w:sz w:val="20"/>
            <w:u w:val="single" w:color="05037E"/>
            <w:lang w:val="fr-FR"/>
          </w:rPr>
          <w:t>L</w:t>
        </w:r>
        <w:r w:rsidR="00981762" w:rsidRPr="00022147">
          <w:rPr>
            <w:color w:val="05037E"/>
            <w:sz w:val="20"/>
            <w:u w:val="single" w:color="05037E"/>
            <w:lang w:val="fr-FR"/>
          </w:rPr>
          <w:t xml:space="preserve">a fiche d'action sur la </w:t>
        </w:r>
      </w:hyperlink>
      <w:r w:rsidR="00981762" w:rsidRPr="00022147">
        <w:rPr>
          <w:sz w:val="20"/>
          <w:lang w:val="fr-FR"/>
        </w:rPr>
        <w:t xml:space="preserve">MOCADEM </w:t>
      </w:r>
      <w:hyperlink r:id="rId26">
        <w:r w:rsidR="00981762" w:rsidRPr="00022147">
          <w:rPr>
            <w:color w:val="05037E"/>
            <w:sz w:val="20"/>
            <w:u w:val="single" w:color="05037E"/>
            <w:lang w:val="fr-FR"/>
          </w:rPr>
          <w:t>Méditerranée orientale</w:t>
        </w:r>
      </w:hyperlink>
      <w:r w:rsidR="00981762" w:rsidRPr="00022147">
        <w:rPr>
          <w:sz w:val="20"/>
          <w:lang w:val="fr-FR"/>
        </w:rPr>
        <w:t xml:space="preserve">, </w:t>
      </w:r>
      <w:r w:rsidRPr="008549AC">
        <w:rPr>
          <w:sz w:val="20"/>
          <w:lang w:val="fr-FR"/>
        </w:rPr>
        <w:t>traite également de la gestion des frontières, en insistant sur l’importance de la « prévention des départs ».</w:t>
      </w:r>
    </w:p>
    <w:p w14:paraId="55DA5610" w14:textId="7D86DE08" w:rsidR="0099685F" w:rsidRPr="008549AC" w:rsidRDefault="008549AC" w:rsidP="008549AC">
      <w:pPr>
        <w:pStyle w:val="BodyText"/>
        <w:spacing w:before="160" w:line="259" w:lineRule="auto"/>
        <w:rPr>
          <w:sz w:val="20"/>
          <w:lang w:val="fr-FR"/>
        </w:rPr>
      </w:pPr>
      <w:r w:rsidRPr="008549AC">
        <w:rPr>
          <w:sz w:val="20"/>
          <w:lang w:val="fr-FR"/>
        </w:rPr>
        <w:t xml:space="preserve">La Gambie devrait recevoir 46 millions d’euros de l’UE pour </w:t>
      </w:r>
      <w:r>
        <w:rPr>
          <w:sz w:val="20"/>
          <w:lang w:val="fr-FR"/>
        </w:rPr>
        <w:t>« </w:t>
      </w:r>
      <w:r w:rsidRPr="008549AC">
        <w:rPr>
          <w:sz w:val="20"/>
          <w:lang w:val="fr-FR"/>
        </w:rPr>
        <w:t>améliorer la sécurité, la migration et la gestion des frontières</w:t>
      </w:r>
      <w:r>
        <w:rPr>
          <w:sz w:val="20"/>
          <w:lang w:val="fr-FR"/>
        </w:rPr>
        <w:t xml:space="preserve"> », </w:t>
      </w:r>
      <w:r w:rsidR="00981762" w:rsidRPr="00022147">
        <w:rPr>
          <w:sz w:val="20"/>
          <w:lang w:val="fr-FR"/>
        </w:rPr>
        <w:t xml:space="preserve">selon un </w:t>
      </w:r>
      <w:hyperlink r:id="rId27">
        <w:r w:rsidR="00981762" w:rsidRPr="00022147">
          <w:rPr>
            <w:color w:val="05037E"/>
            <w:sz w:val="20"/>
            <w:u w:val="single" w:color="05037E"/>
            <w:lang w:val="fr-FR"/>
          </w:rPr>
          <w:t>dossier d'action de la MOCADEM</w:t>
        </w:r>
      </w:hyperlink>
      <w:r w:rsidR="00981762" w:rsidRPr="00022147">
        <w:rPr>
          <w:sz w:val="20"/>
          <w:lang w:val="fr-FR"/>
        </w:rPr>
        <w:t>.</w:t>
      </w:r>
    </w:p>
    <w:p w14:paraId="342490D6" w14:textId="1BDEE73C" w:rsidR="0099685F" w:rsidRPr="008549AC" w:rsidRDefault="008549AC" w:rsidP="008549AC">
      <w:pPr>
        <w:pStyle w:val="BodyText"/>
        <w:spacing w:before="160" w:line="259" w:lineRule="auto"/>
        <w:rPr>
          <w:sz w:val="20"/>
          <w:lang w:val="fr-FR"/>
        </w:rPr>
      </w:pPr>
      <w:r w:rsidRPr="008549AC">
        <w:rPr>
          <w:sz w:val="20"/>
          <w:lang w:val="fr-FR"/>
        </w:rPr>
        <w:t>L’</w:t>
      </w:r>
      <w:r>
        <w:rPr>
          <w:sz w:val="20"/>
          <w:lang w:val="fr-FR"/>
        </w:rPr>
        <w:t> « </w:t>
      </w:r>
      <w:r w:rsidRPr="008549AC">
        <w:rPr>
          <w:sz w:val="20"/>
          <w:lang w:val="fr-FR"/>
        </w:rPr>
        <w:t>instrumentalisation de la migration</w:t>
      </w:r>
      <w:r>
        <w:rPr>
          <w:sz w:val="20"/>
          <w:lang w:val="fr-FR"/>
        </w:rPr>
        <w:t> »</w:t>
      </w:r>
      <w:r w:rsidRPr="008549AC">
        <w:rPr>
          <w:sz w:val="20"/>
          <w:lang w:val="fr-FR"/>
        </w:rPr>
        <w:t xml:space="preserve"> reste un thème central, discuté notamment au sein du</w:t>
      </w:r>
      <w:r>
        <w:rPr>
          <w:sz w:val="20"/>
          <w:lang w:val="fr-FR"/>
        </w:rPr>
        <w:t xml:space="preserve"> </w:t>
      </w:r>
      <w:hyperlink r:id="rId28">
        <w:r w:rsidR="00981762" w:rsidRPr="00022147">
          <w:rPr>
            <w:color w:val="05037E"/>
            <w:sz w:val="20"/>
            <w:u w:val="single" w:color="05037E"/>
            <w:lang w:val="fr-FR"/>
          </w:rPr>
          <w:t>SEMP</w:t>
        </w:r>
      </w:hyperlink>
      <w:r w:rsidR="00981762" w:rsidRPr="00022147">
        <w:rPr>
          <w:sz w:val="20"/>
          <w:lang w:val="fr-FR"/>
        </w:rPr>
        <w:t>, de l'</w:t>
      </w:r>
      <w:hyperlink r:id="rId29">
        <w:r w:rsidR="00981762" w:rsidRPr="00022147">
          <w:rPr>
            <w:color w:val="05037E"/>
            <w:sz w:val="20"/>
            <w:u w:val="single" w:color="05037E"/>
            <w:lang w:val="fr-FR"/>
          </w:rPr>
          <w:t xml:space="preserve">IMEX </w:t>
        </w:r>
      </w:hyperlink>
      <w:r w:rsidR="00981762" w:rsidRPr="00022147">
        <w:rPr>
          <w:sz w:val="20"/>
          <w:lang w:val="fr-FR"/>
        </w:rPr>
        <w:t xml:space="preserve">et </w:t>
      </w:r>
      <w:hyperlink r:id="rId30">
        <w:r w:rsidR="00981762" w:rsidRPr="00022147">
          <w:rPr>
            <w:color w:val="05037E"/>
            <w:sz w:val="20"/>
            <w:u w:val="single" w:color="05037E"/>
            <w:lang w:val="fr-FR"/>
          </w:rPr>
          <w:t>du groupe de travail sur les frontières</w:t>
        </w:r>
      </w:hyperlink>
      <w:r w:rsidR="00981762" w:rsidRPr="00022147">
        <w:rPr>
          <w:sz w:val="20"/>
          <w:lang w:val="fr-FR"/>
        </w:rPr>
        <w:t>.</w:t>
      </w:r>
    </w:p>
    <w:p w14:paraId="1B7582F7" w14:textId="77777777" w:rsidR="009B707B" w:rsidRDefault="00981762" w:rsidP="009B707B">
      <w:pPr>
        <w:pStyle w:val="BodyText"/>
        <w:spacing w:before="159" w:line="259" w:lineRule="auto"/>
        <w:rPr>
          <w:sz w:val="20"/>
          <w:lang w:val="fr-FR"/>
        </w:rPr>
      </w:pPr>
      <w:r w:rsidRPr="00022147">
        <w:rPr>
          <w:sz w:val="20"/>
          <w:lang w:val="fr-FR"/>
        </w:rPr>
        <w:t xml:space="preserve">Un </w:t>
      </w:r>
      <w:hyperlink r:id="rId31">
        <w:r w:rsidRPr="00022147">
          <w:rPr>
            <w:color w:val="05037E"/>
            <w:sz w:val="20"/>
            <w:u w:val="single" w:color="05037E"/>
            <w:lang w:val="fr-FR"/>
          </w:rPr>
          <w:t xml:space="preserve">document de la présidence polonaise </w:t>
        </w:r>
      </w:hyperlink>
      <w:r w:rsidRPr="00022147">
        <w:rPr>
          <w:sz w:val="20"/>
          <w:lang w:val="fr-FR"/>
        </w:rPr>
        <w:t xml:space="preserve">(5234/25) </w:t>
      </w:r>
      <w:r w:rsidR="009B707B" w:rsidRPr="009B707B">
        <w:rPr>
          <w:sz w:val="20"/>
          <w:lang w:val="fr-FR"/>
        </w:rPr>
        <w:t xml:space="preserve">examiné par le PTME, s’intéresse à la « route terrestre orientale » vers l’UE, passant par la Russie et le Belarus. </w:t>
      </w:r>
    </w:p>
    <w:p w14:paraId="39ACCE3A" w14:textId="377A2531" w:rsidR="009B707B" w:rsidRDefault="009B707B" w:rsidP="009B707B">
      <w:pPr>
        <w:pStyle w:val="BodyText"/>
        <w:spacing w:before="159" w:line="259" w:lineRule="auto"/>
        <w:rPr>
          <w:sz w:val="20"/>
          <w:lang w:val="fr-FR"/>
        </w:rPr>
      </w:pPr>
      <w:r w:rsidRPr="009B707B">
        <w:rPr>
          <w:sz w:val="20"/>
          <w:lang w:val="fr-FR"/>
        </w:rPr>
        <w:t>Il propose de déployer des officiers de liaison en Turquie et aux Émirats arabes unis, afin d’empêcher les déplacements vers ces deux pays. Un plan d’action spécifique sur cette route</w:t>
      </w:r>
      <w:r>
        <w:rPr>
          <w:sz w:val="20"/>
          <w:lang w:val="fr-FR"/>
        </w:rPr>
        <w:t xml:space="preserve"> terrestre orientale</w:t>
      </w:r>
      <w:r w:rsidRPr="009B707B">
        <w:rPr>
          <w:sz w:val="20"/>
          <w:lang w:val="fr-FR"/>
        </w:rPr>
        <w:t xml:space="preserve"> serait en cours de préparation.</w:t>
      </w:r>
    </w:p>
    <w:p w14:paraId="0E035BD9" w14:textId="7F9808F4" w:rsidR="0099685F" w:rsidRPr="00022147" w:rsidRDefault="00981762">
      <w:pPr>
        <w:pStyle w:val="BodyText"/>
        <w:spacing w:before="161" w:line="259" w:lineRule="auto"/>
        <w:ind w:right="168"/>
        <w:rPr>
          <w:lang w:val="fr-FR"/>
        </w:rPr>
      </w:pPr>
      <w:r>
        <w:rPr>
          <w:sz w:val="20"/>
          <w:lang w:val="fr-FR"/>
        </w:rPr>
        <w:t xml:space="preserve">Enfin, dans un autre document </w:t>
      </w:r>
      <w:r w:rsidRPr="00981762">
        <w:rPr>
          <w:sz w:val="20"/>
          <w:lang w:val="fr-FR"/>
        </w:rPr>
        <w:t xml:space="preserve">(5012/25), </w:t>
      </w:r>
      <w:r w:rsidRPr="00022147">
        <w:rPr>
          <w:sz w:val="20"/>
          <w:lang w:val="fr-FR"/>
        </w:rPr>
        <w:t xml:space="preserve"> du </w:t>
      </w:r>
      <w:hyperlink r:id="rId32">
        <w:r w:rsidRPr="00022147">
          <w:rPr>
            <w:color w:val="05037E"/>
            <w:sz w:val="20"/>
            <w:u w:val="single" w:color="05037E"/>
            <w:lang w:val="fr-FR"/>
          </w:rPr>
          <w:t>groupe de travail sur les frontières</w:t>
        </w:r>
      </w:hyperlink>
      <w:r w:rsidRPr="00022147">
        <w:rPr>
          <w:sz w:val="20"/>
          <w:lang w:val="fr-FR"/>
        </w:rPr>
        <w:t xml:space="preserve">, </w:t>
      </w:r>
      <w:hyperlink r:id="rId33">
        <w:r w:rsidRPr="00022147">
          <w:rPr>
            <w:color w:val="05037E"/>
            <w:sz w:val="20"/>
            <w:u w:val="single" w:color="05037E"/>
            <w:lang w:val="fr-FR"/>
          </w:rPr>
          <w:t>la présidence polonais</w:t>
        </w:r>
        <w:r>
          <w:rPr>
            <w:color w:val="05037E"/>
            <w:sz w:val="20"/>
            <w:u w:val="single" w:color="05037E"/>
            <w:lang w:val="fr-FR"/>
          </w:rPr>
          <w:t>e a sollicité</w:t>
        </w:r>
        <w:r w:rsidRPr="00022147">
          <w:rPr>
            <w:color w:val="05037E"/>
            <w:sz w:val="20"/>
            <w:u w:val="single" w:color="05037E"/>
            <w:lang w:val="fr-FR"/>
          </w:rPr>
          <w:t xml:space="preserve"> </w:t>
        </w:r>
      </w:hyperlink>
      <w:r>
        <w:rPr>
          <w:sz w:val="20"/>
          <w:lang w:val="fr-FR"/>
        </w:rPr>
        <w:t xml:space="preserve"> </w:t>
      </w:r>
      <w:r w:rsidRPr="00981762">
        <w:rPr>
          <w:sz w:val="20"/>
          <w:lang w:val="fr-FR"/>
        </w:rPr>
        <w:t>l’avis des États membres sur des « solutions innovantes » pour renforcer la protection et la sécurité des frontières, notamment face à l’afflux de migrations irrégulières liées à l’instrumentalisation migratoire.</w:t>
      </w:r>
      <w:r>
        <w:rPr>
          <w:sz w:val="20"/>
          <w:lang w:val="fr-FR"/>
        </w:rPr>
        <w:t xml:space="preserve"> </w:t>
      </w:r>
    </w:p>
    <w:p w14:paraId="12764CEC" w14:textId="400A1E39" w:rsidR="0099685F" w:rsidRPr="00022147" w:rsidRDefault="00981762" w:rsidP="00981762">
      <w:pPr>
        <w:pStyle w:val="BodyText"/>
        <w:spacing w:before="158" w:line="259" w:lineRule="auto"/>
        <w:ind w:right="168"/>
        <w:rPr>
          <w:lang w:val="fr-FR"/>
        </w:rPr>
        <w:sectPr w:rsidR="0099685F" w:rsidRPr="00022147">
          <w:pgSz w:w="11910" w:h="16840"/>
          <w:pgMar w:top="1320" w:right="1417" w:bottom="1960" w:left="1275" w:header="0" w:footer="1766" w:gutter="0"/>
          <w:cols w:space="708"/>
        </w:sectPr>
      </w:pPr>
      <w:r w:rsidRPr="00981762">
        <w:rPr>
          <w:sz w:val="20"/>
          <w:lang w:val="fr-FR"/>
        </w:rPr>
        <w:t xml:space="preserve">Ce </w:t>
      </w:r>
      <w:r>
        <w:rPr>
          <w:sz w:val="20"/>
          <w:lang w:val="fr-FR"/>
        </w:rPr>
        <w:t xml:space="preserve">thème a également été abordé par </w:t>
      </w:r>
      <w:r w:rsidRPr="00022147">
        <w:rPr>
          <w:color w:val="05037E"/>
          <w:sz w:val="20"/>
          <w:u w:val="single" w:color="05037E"/>
          <w:lang w:val="fr-FR"/>
        </w:rPr>
        <w:t>IME</w:t>
      </w:r>
      <w:r>
        <w:rPr>
          <w:color w:val="05037E"/>
          <w:sz w:val="20"/>
          <w:u w:val="single" w:color="05037E"/>
          <w:lang w:val="fr-FR"/>
        </w:rPr>
        <w:t>X en octobre 2024</w:t>
      </w:r>
      <w:r>
        <w:rPr>
          <w:sz w:val="20"/>
          <w:lang w:val="fr-FR"/>
        </w:rPr>
        <w:t>, à travers</w:t>
      </w:r>
      <w:r w:rsidRPr="00022147">
        <w:rPr>
          <w:sz w:val="20"/>
          <w:lang w:val="fr-FR"/>
        </w:rPr>
        <w:t xml:space="preserve"> </w:t>
      </w:r>
      <w:hyperlink r:id="rId34">
        <w:r w:rsidRPr="00022147">
          <w:rPr>
            <w:color w:val="05037E"/>
            <w:sz w:val="20"/>
            <w:u w:val="single" w:color="05037E"/>
            <w:lang w:val="fr-FR"/>
          </w:rPr>
          <w:t xml:space="preserve">un document de la présidence hongroise </w:t>
        </w:r>
      </w:hyperlink>
      <w:r>
        <w:rPr>
          <w:sz w:val="20"/>
          <w:lang w:val="fr-FR"/>
        </w:rPr>
        <w:t xml:space="preserve">(14204/24) </w:t>
      </w:r>
      <w:r w:rsidRPr="00981762">
        <w:rPr>
          <w:sz w:val="20"/>
          <w:lang w:val="fr-FR"/>
        </w:rPr>
        <w:t>portant sur l’utilisation de transports commerciaux à des fins d’instrumentalisation migratoire.</w:t>
      </w:r>
    </w:p>
    <w:p w14:paraId="5F71A484" w14:textId="77777777" w:rsidR="0099685F" w:rsidRPr="00022147" w:rsidRDefault="00981762">
      <w:pPr>
        <w:pStyle w:val="Heading2"/>
        <w:spacing w:before="78"/>
        <w:rPr>
          <w:lang w:val="fr-FR"/>
        </w:rPr>
      </w:pPr>
      <w:bookmarkStart w:id="6" w:name="Budgets_and_funding"/>
      <w:bookmarkStart w:id="7" w:name="_bookmark3"/>
      <w:bookmarkEnd w:id="6"/>
      <w:bookmarkEnd w:id="7"/>
      <w:r w:rsidRPr="00022147">
        <w:rPr>
          <w:sz w:val="24"/>
          <w:lang w:val="fr-FR"/>
        </w:rPr>
        <w:lastRenderedPageBreak/>
        <w:t xml:space="preserve">Budgets et </w:t>
      </w:r>
      <w:r w:rsidRPr="00022147">
        <w:rPr>
          <w:spacing w:val="-2"/>
          <w:sz w:val="24"/>
          <w:lang w:val="fr-FR"/>
        </w:rPr>
        <w:t>financement</w:t>
      </w:r>
    </w:p>
    <w:p w14:paraId="25C1514B" w14:textId="7AA60C71" w:rsidR="0099685F" w:rsidRPr="00022147" w:rsidRDefault="0051049A">
      <w:pPr>
        <w:pStyle w:val="BodyText"/>
        <w:spacing w:before="180" w:line="288" w:lineRule="auto"/>
        <w:rPr>
          <w:lang w:val="fr-FR"/>
        </w:rPr>
      </w:pPr>
      <w:r w:rsidRPr="0051049A">
        <w:rPr>
          <w:sz w:val="20"/>
          <w:lang w:val="fr-FR"/>
        </w:rPr>
        <w:t>Plusieurs</w:t>
      </w:r>
      <w:r w:rsidR="00981762" w:rsidRPr="00022147">
        <w:rPr>
          <w:sz w:val="20"/>
          <w:lang w:val="fr-FR"/>
        </w:rPr>
        <w:t xml:space="preserve"> </w:t>
      </w:r>
      <w:hyperlink r:id="rId35" w:anchor="mocademother">
        <w:r w:rsidR="00981762" w:rsidRPr="00022147">
          <w:rPr>
            <w:color w:val="05037E"/>
            <w:sz w:val="20"/>
            <w:u w:val="single" w:color="05037E"/>
            <w:lang w:val="fr-FR"/>
          </w:rPr>
          <w:t xml:space="preserve">fiches d'action MOCADEM publiées avec ce </w:t>
        </w:r>
      </w:hyperlink>
      <w:hyperlink r:id="rId36" w:anchor="mocademother">
        <w:r w:rsidR="00981762" w:rsidRPr="00022147">
          <w:rPr>
            <w:color w:val="05037E"/>
            <w:sz w:val="20"/>
            <w:u w:val="single" w:color="05037E"/>
            <w:lang w:val="fr-FR"/>
          </w:rPr>
          <w:t>bulletin</w:t>
        </w:r>
      </w:hyperlink>
      <w:r w:rsidR="00981762" w:rsidRPr="00022147">
        <w:rPr>
          <w:sz w:val="20"/>
          <w:lang w:val="fr-FR"/>
        </w:rPr>
        <w:t xml:space="preserve">, </w:t>
      </w:r>
      <w:r w:rsidRPr="0051049A">
        <w:rPr>
          <w:sz w:val="20"/>
          <w:lang w:val="fr-FR"/>
        </w:rPr>
        <w:t>détaillent des projets spécifiques, accompagnés des montants alloués via le budget de l’UE.</w:t>
      </w:r>
    </w:p>
    <w:p w14:paraId="04586EF6" w14:textId="77777777" w:rsidR="0099685F" w:rsidRPr="00022147" w:rsidRDefault="0099685F">
      <w:pPr>
        <w:pStyle w:val="BodyText"/>
        <w:spacing w:before="61"/>
        <w:ind w:left="0"/>
        <w:rPr>
          <w:sz w:val="26"/>
          <w:lang w:val="fr-FR"/>
        </w:rPr>
      </w:pPr>
    </w:p>
    <w:p w14:paraId="4FA57622" w14:textId="77777777" w:rsidR="0099685F" w:rsidRPr="00022147" w:rsidRDefault="00981762">
      <w:pPr>
        <w:pStyle w:val="Heading2"/>
        <w:rPr>
          <w:lang w:val="fr-FR"/>
        </w:rPr>
      </w:pPr>
      <w:bookmarkStart w:id="8" w:name="Deportation_and_readmission"/>
      <w:bookmarkStart w:id="9" w:name="_bookmark4"/>
      <w:bookmarkEnd w:id="8"/>
      <w:bookmarkEnd w:id="9"/>
      <w:r w:rsidRPr="00022147">
        <w:rPr>
          <w:sz w:val="24"/>
          <w:lang w:val="fr-FR"/>
        </w:rPr>
        <w:t xml:space="preserve">Expulsion et </w:t>
      </w:r>
      <w:r w:rsidRPr="00022147">
        <w:rPr>
          <w:spacing w:val="-2"/>
          <w:sz w:val="24"/>
          <w:lang w:val="fr-FR"/>
        </w:rPr>
        <w:t>réadmission</w:t>
      </w:r>
    </w:p>
    <w:p w14:paraId="1E1B5FDA" w14:textId="422EC080" w:rsidR="0051049A" w:rsidRDefault="0051049A">
      <w:pPr>
        <w:pStyle w:val="BodyText"/>
        <w:spacing w:before="180" w:line="288" w:lineRule="auto"/>
        <w:rPr>
          <w:sz w:val="20"/>
          <w:lang w:val="fr-FR"/>
        </w:rPr>
      </w:pPr>
      <w:r w:rsidRPr="0051049A">
        <w:rPr>
          <w:sz w:val="20"/>
          <w:lang w:val="fr-FR"/>
        </w:rPr>
        <w:t>Concernant l’expulsion, le principal sujet de discussion au Conseil est la future proposition de la Commission pour réviser la directive « retour » de l’UE.</w:t>
      </w:r>
    </w:p>
    <w:p w14:paraId="7A84B5AE" w14:textId="2EC8D452" w:rsidR="0051049A" w:rsidRDefault="0051049A" w:rsidP="00413898">
      <w:pPr>
        <w:pStyle w:val="BodyText"/>
        <w:spacing w:line="288" w:lineRule="auto"/>
        <w:rPr>
          <w:sz w:val="20"/>
          <w:lang w:val="fr-FR"/>
        </w:rPr>
      </w:pPr>
      <w:r w:rsidRPr="0051049A">
        <w:rPr>
          <w:sz w:val="20"/>
          <w:lang w:val="fr-FR"/>
        </w:rPr>
        <w:t xml:space="preserve">Un document (15071/24), </w:t>
      </w:r>
    </w:p>
    <w:p w14:paraId="2681A370" w14:textId="77777777" w:rsidR="00413898" w:rsidRPr="00413898" w:rsidRDefault="00981762" w:rsidP="00413898">
      <w:pPr>
        <w:pStyle w:val="BodyText"/>
        <w:spacing w:line="288" w:lineRule="auto"/>
        <w:rPr>
          <w:sz w:val="20"/>
          <w:lang w:val="fr-FR"/>
        </w:rPr>
      </w:pPr>
      <w:r w:rsidRPr="00022147">
        <w:rPr>
          <w:sz w:val="20"/>
          <w:lang w:val="fr-FR"/>
        </w:rPr>
        <w:t xml:space="preserve">Un </w:t>
      </w:r>
      <w:hyperlink r:id="rId37">
        <w:r w:rsidRPr="00022147">
          <w:rPr>
            <w:color w:val="05037E"/>
            <w:sz w:val="20"/>
            <w:u w:val="single" w:color="05037E"/>
            <w:lang w:val="fr-FR"/>
          </w:rPr>
          <w:t xml:space="preserve">document </w:t>
        </w:r>
      </w:hyperlink>
      <w:r w:rsidRPr="00022147">
        <w:rPr>
          <w:sz w:val="20"/>
          <w:lang w:val="fr-FR"/>
        </w:rPr>
        <w:t xml:space="preserve">(15071/24) </w:t>
      </w:r>
      <w:r w:rsidR="00413898" w:rsidRPr="00413898">
        <w:rPr>
          <w:sz w:val="20"/>
          <w:lang w:val="fr-FR"/>
        </w:rPr>
        <w:t>soumis en novembre au SCIFA, pose la question suivante :</w:t>
      </w:r>
    </w:p>
    <w:p w14:paraId="6B13B8FA" w14:textId="27C14FEE" w:rsidR="00413898" w:rsidRDefault="00413898" w:rsidP="00413898">
      <w:pPr>
        <w:pStyle w:val="BodyText"/>
        <w:spacing w:line="288" w:lineRule="auto"/>
        <w:rPr>
          <w:sz w:val="20"/>
          <w:lang w:val="fr-FR"/>
        </w:rPr>
      </w:pPr>
      <w:r w:rsidRPr="00413898">
        <w:rPr>
          <w:sz w:val="20"/>
          <w:lang w:val="fr-FR"/>
        </w:rPr>
        <w:t xml:space="preserve">« Nous devons évaluer comment le concept de </w:t>
      </w:r>
      <w:r>
        <w:rPr>
          <w:sz w:val="20"/>
          <w:lang w:val="fr-FR"/>
        </w:rPr>
        <w:t>« </w:t>
      </w:r>
      <w:r w:rsidRPr="00413898">
        <w:rPr>
          <w:sz w:val="20"/>
          <w:lang w:val="fr-FR"/>
        </w:rPr>
        <w:t>centres de retour</w:t>
      </w:r>
      <w:r>
        <w:rPr>
          <w:sz w:val="20"/>
          <w:lang w:val="fr-FR"/>
        </w:rPr>
        <w:t> »</w:t>
      </w:r>
      <w:r w:rsidRPr="00413898">
        <w:rPr>
          <w:sz w:val="20"/>
          <w:lang w:val="fr-FR"/>
        </w:rPr>
        <w:t xml:space="preserve"> peut s’inscrire dans le cadre juridique de l’UE. »</w:t>
      </w:r>
    </w:p>
    <w:p w14:paraId="6E8A64B9" w14:textId="6805C765" w:rsidR="00413898" w:rsidRDefault="00413898">
      <w:pPr>
        <w:pStyle w:val="BodyText"/>
        <w:spacing w:line="288" w:lineRule="auto"/>
        <w:rPr>
          <w:sz w:val="20"/>
          <w:lang w:val="fr-FR"/>
        </w:rPr>
      </w:pPr>
      <w:r>
        <w:rPr>
          <w:sz w:val="20"/>
          <w:lang w:val="fr-FR"/>
        </w:rPr>
        <w:t>Probablement, b</w:t>
      </w:r>
      <w:r w:rsidRPr="00413898">
        <w:rPr>
          <w:sz w:val="20"/>
          <w:lang w:val="fr-FR"/>
        </w:rPr>
        <w:t>on nombre des « solutions innovantes » envisagées pour freiner l’immigration dite irrégulière soulèveront des questions juridiques majeures. En d’autres termes, leur conformité légale ne sera pas immédiate — voire, elles pourraient s’avérer illégales.</w:t>
      </w:r>
    </w:p>
    <w:p w14:paraId="009CB1C2" w14:textId="77429D74" w:rsidR="0099685F" w:rsidRPr="00022147" w:rsidRDefault="00413898">
      <w:pPr>
        <w:pStyle w:val="BodyText"/>
        <w:spacing w:before="121" w:line="288" w:lineRule="auto"/>
        <w:rPr>
          <w:lang w:val="fr-FR"/>
        </w:rPr>
      </w:pPr>
      <w:r w:rsidRPr="00413898">
        <w:rPr>
          <w:sz w:val="20"/>
          <w:lang w:val="fr-FR"/>
        </w:rPr>
        <w:t>Le sujet des « centres de retour » a été réabordé lors d’une réunion IMEX en décembre.</w:t>
      </w:r>
      <w:r w:rsidR="00981762" w:rsidRPr="00022147">
        <w:rPr>
          <w:sz w:val="20"/>
          <w:lang w:val="fr-FR"/>
        </w:rPr>
        <w:t xml:space="preserve"> Un </w:t>
      </w:r>
      <w:hyperlink r:id="rId38">
        <w:r w:rsidR="00981762" w:rsidRPr="00022147">
          <w:rPr>
            <w:color w:val="05037E"/>
            <w:sz w:val="20"/>
            <w:u w:val="single" w:color="05037E"/>
            <w:lang w:val="fr-FR"/>
          </w:rPr>
          <w:t xml:space="preserve">document de la présidence </w:t>
        </w:r>
      </w:hyperlink>
      <w:hyperlink r:id="rId39">
        <w:r w:rsidR="00981762" w:rsidRPr="00022147">
          <w:rPr>
            <w:color w:val="05037E"/>
            <w:sz w:val="20"/>
            <w:u w:val="single" w:color="05037E"/>
            <w:lang w:val="fr-FR"/>
          </w:rPr>
          <w:t xml:space="preserve">hongroise </w:t>
        </w:r>
      </w:hyperlink>
      <w:r w:rsidR="00981762" w:rsidRPr="00022147">
        <w:rPr>
          <w:sz w:val="20"/>
          <w:lang w:val="fr-FR"/>
        </w:rPr>
        <w:t xml:space="preserve">(16084/24) indique que les Etats membres souhaitent réformer le mandat </w:t>
      </w:r>
      <w:r w:rsidRPr="00413898">
        <w:rPr>
          <w:sz w:val="20"/>
          <w:lang w:val="fr-FR"/>
        </w:rPr>
        <w:t>juridique de Frontex, afin de lui permettre de soutenir les expulsions depuis des centres de retour situés dans des pays tiers vers d’autres pays tiers</w:t>
      </w:r>
      <w:r>
        <w:rPr>
          <w:sz w:val="20"/>
          <w:lang w:val="fr-FR"/>
        </w:rPr>
        <w:t>.</w:t>
      </w:r>
    </w:p>
    <w:p w14:paraId="499F4F7A" w14:textId="32194122" w:rsidR="006634FB" w:rsidRPr="00E1380D" w:rsidRDefault="00981762" w:rsidP="00E1380D">
      <w:pPr>
        <w:pStyle w:val="BodyText"/>
        <w:spacing w:line="288" w:lineRule="auto"/>
        <w:rPr>
          <w:lang w:val="fr-FR"/>
        </w:rPr>
      </w:pPr>
      <w:r w:rsidRPr="00022147">
        <w:rPr>
          <w:sz w:val="20"/>
          <w:lang w:val="fr-FR"/>
        </w:rPr>
        <w:t>Ce même sujet a été abordé dans un</w:t>
      </w:r>
      <w:r w:rsidR="006634FB">
        <w:rPr>
          <w:sz w:val="20"/>
          <w:lang w:val="fr-FR"/>
        </w:rPr>
        <w:t xml:space="preserve"> autre</w:t>
      </w:r>
      <w:r w:rsidRPr="00022147">
        <w:rPr>
          <w:sz w:val="20"/>
          <w:lang w:val="fr-FR"/>
        </w:rPr>
        <w:t xml:space="preserve"> </w:t>
      </w:r>
      <w:hyperlink r:id="rId40">
        <w:r w:rsidRPr="00022147">
          <w:rPr>
            <w:color w:val="05037E"/>
            <w:sz w:val="20"/>
            <w:u w:val="single" w:color="05037E"/>
            <w:lang w:val="fr-FR"/>
          </w:rPr>
          <w:t xml:space="preserve">document de la présidence hongroise </w:t>
        </w:r>
      </w:hyperlink>
      <w:r w:rsidRPr="00022147">
        <w:rPr>
          <w:sz w:val="20"/>
          <w:lang w:val="fr-FR"/>
        </w:rPr>
        <w:t>(14871/24</w:t>
      </w:r>
      <w:r w:rsidR="006634FB">
        <w:rPr>
          <w:sz w:val="20"/>
          <w:lang w:val="fr-FR"/>
        </w:rPr>
        <w:t>, novembre</w:t>
      </w:r>
      <w:r w:rsidRPr="00022147">
        <w:rPr>
          <w:sz w:val="20"/>
          <w:lang w:val="fr-FR"/>
        </w:rPr>
        <w:t>) portant sur la région des Balkans occidentaux.</w:t>
      </w:r>
    </w:p>
    <w:p w14:paraId="67B150E5" w14:textId="7BDC8D55" w:rsidR="0099685F" w:rsidRPr="00022147" w:rsidRDefault="006634FB">
      <w:pPr>
        <w:pStyle w:val="BodyText"/>
        <w:spacing w:before="118" w:line="288" w:lineRule="auto"/>
        <w:ind w:left="141"/>
        <w:rPr>
          <w:lang w:val="fr-FR"/>
        </w:rPr>
      </w:pPr>
      <w:r>
        <w:rPr>
          <w:sz w:val="20"/>
          <w:lang w:val="fr-FR"/>
        </w:rPr>
        <w:t>Rédigé</w:t>
      </w:r>
      <w:r w:rsidR="00981762" w:rsidRPr="00022147">
        <w:rPr>
          <w:sz w:val="20"/>
          <w:lang w:val="fr-FR"/>
        </w:rPr>
        <w:t xml:space="preserve"> pour le </w:t>
      </w:r>
      <w:hyperlink r:id="rId41">
        <w:r w:rsidR="00981762" w:rsidRPr="00022147">
          <w:rPr>
            <w:color w:val="05037E"/>
            <w:sz w:val="20"/>
            <w:u w:val="single" w:color="05037E"/>
            <w:lang w:val="fr-FR"/>
          </w:rPr>
          <w:t>PTME</w:t>
        </w:r>
        <w:r w:rsidR="00981762" w:rsidRPr="00022147">
          <w:rPr>
            <w:sz w:val="20"/>
            <w:lang w:val="fr-FR"/>
          </w:rPr>
          <w:t xml:space="preserve">, </w:t>
        </w:r>
      </w:hyperlink>
      <w:r w:rsidR="00FA48B0">
        <w:rPr>
          <w:sz w:val="20"/>
          <w:lang w:val="fr-FR"/>
        </w:rPr>
        <w:t>le document note</w:t>
      </w:r>
      <w:r w:rsidR="00981762" w:rsidRPr="00022147">
        <w:rPr>
          <w:sz w:val="20"/>
          <w:lang w:val="fr-FR"/>
        </w:rPr>
        <w:t xml:space="preserve"> que les pays des Balkans occidentaux</w:t>
      </w:r>
      <w:r w:rsidR="00FA48B0" w:rsidRPr="00FA48B0">
        <w:t xml:space="preserve"> </w:t>
      </w:r>
      <w:r w:rsidR="00FA48B0" w:rsidRPr="00FA48B0">
        <w:rPr>
          <w:sz w:val="20"/>
          <w:lang w:val="fr-FR"/>
        </w:rPr>
        <w:t>souhaitent autoriser Frontex à procéder à des expulsions – par exemple, de la Serbie vers le Pakistan – et qu’ils considèrent cette capacité comme une priorité. L’objectif est clair : accroître les expulsions forcées depuis ces territoires.</w:t>
      </w:r>
      <w:r w:rsidR="00981762" w:rsidRPr="00022147">
        <w:rPr>
          <w:sz w:val="20"/>
          <w:lang w:val="fr-FR"/>
        </w:rPr>
        <w:t xml:space="preserve"> </w:t>
      </w:r>
      <w:r w:rsidR="00FA48B0">
        <w:rPr>
          <w:sz w:val="20"/>
          <w:lang w:val="fr-FR"/>
        </w:rPr>
        <w:t xml:space="preserve">   </w:t>
      </w:r>
    </w:p>
    <w:p w14:paraId="18794EC7" w14:textId="11E46FD4" w:rsidR="0099685F" w:rsidRPr="00022147" w:rsidRDefault="00E1380D">
      <w:pPr>
        <w:pStyle w:val="BodyText"/>
        <w:spacing w:before="121" w:line="288" w:lineRule="auto"/>
        <w:rPr>
          <w:lang w:val="fr-FR"/>
        </w:rPr>
      </w:pPr>
      <w:r>
        <w:rPr>
          <w:sz w:val="20"/>
          <w:lang w:val="fr-FR"/>
        </w:rPr>
        <w:t>Une réunion suivante</w:t>
      </w:r>
      <w:r w:rsidR="00981762" w:rsidRPr="00022147">
        <w:rPr>
          <w:sz w:val="20"/>
          <w:lang w:val="fr-FR"/>
        </w:rPr>
        <w:t xml:space="preserve"> du </w:t>
      </w:r>
      <w:hyperlink r:id="rId42">
        <w:r w:rsidR="00981762" w:rsidRPr="00022147">
          <w:rPr>
            <w:color w:val="05037E"/>
            <w:sz w:val="20"/>
            <w:u w:val="single" w:color="05037E"/>
            <w:lang w:val="fr-FR"/>
          </w:rPr>
          <w:t xml:space="preserve">groupe de travail IMEX </w:t>
        </w:r>
      </w:hyperlink>
      <w:r>
        <w:rPr>
          <w:sz w:val="20"/>
          <w:lang w:val="fr-FR"/>
        </w:rPr>
        <w:t>s'est pench</w:t>
      </w:r>
      <w:r w:rsidR="00981762" w:rsidRPr="00022147">
        <w:rPr>
          <w:sz w:val="20"/>
          <w:lang w:val="fr-FR"/>
        </w:rPr>
        <w:t xml:space="preserve">ée sur un </w:t>
      </w:r>
      <w:hyperlink r:id="rId43">
        <w:r w:rsidR="00981762" w:rsidRPr="00022147">
          <w:rPr>
            <w:color w:val="05037E"/>
            <w:sz w:val="20"/>
            <w:u w:val="single" w:color="05037E"/>
            <w:lang w:val="fr-FR"/>
          </w:rPr>
          <w:t xml:space="preserve">document de travail de la </w:t>
        </w:r>
      </w:hyperlink>
      <w:hyperlink r:id="rId44">
        <w:r w:rsidR="00981762" w:rsidRPr="00022147">
          <w:rPr>
            <w:color w:val="05037E"/>
            <w:sz w:val="20"/>
            <w:u w:val="single" w:color="05037E"/>
            <w:lang w:val="fr-FR"/>
          </w:rPr>
          <w:t xml:space="preserve">présidence polonaise du Conseil </w:t>
        </w:r>
      </w:hyperlink>
      <w:r>
        <w:rPr>
          <w:sz w:val="20"/>
          <w:lang w:val="fr-FR"/>
        </w:rPr>
        <w:t>(5244/25), proposant notamment :</w:t>
      </w:r>
    </w:p>
    <w:p w14:paraId="167EC894" w14:textId="07EA4C59" w:rsidR="00E1380D" w:rsidRDefault="00E1380D">
      <w:pPr>
        <w:pStyle w:val="BodyText"/>
        <w:spacing w:line="259" w:lineRule="auto"/>
        <w:ind w:right="168"/>
        <w:rPr>
          <w:sz w:val="20"/>
          <w:lang w:val="fr-FR"/>
        </w:rPr>
      </w:pPr>
      <w:r w:rsidRPr="00E1380D">
        <w:rPr>
          <w:sz w:val="20"/>
          <w:lang w:val="fr-FR"/>
        </w:rPr>
        <w:t>L’instauration d’interdictions d’entrée à durée illimitée pour les personnes considérées comme une menace pour la sécurité publique — une forme de sanction permanente.</w:t>
      </w:r>
    </w:p>
    <w:p w14:paraId="420C3C48" w14:textId="6C0A1F28" w:rsidR="0099685F" w:rsidRPr="00022147" w:rsidRDefault="00EB133D">
      <w:pPr>
        <w:pStyle w:val="BodyText"/>
        <w:spacing w:before="160" w:line="259" w:lineRule="auto"/>
        <w:rPr>
          <w:lang w:val="fr-FR"/>
        </w:rPr>
      </w:pPr>
      <w:r w:rsidRPr="00EB133D">
        <w:rPr>
          <w:sz w:val="20"/>
          <w:lang w:val="fr-FR"/>
        </w:rPr>
        <w:t>La question de systèmes nationaux d'expulsion « plus efficaces » est abordée</w:t>
      </w:r>
      <w:r w:rsidR="00981762" w:rsidRPr="00EB133D">
        <w:rPr>
          <w:sz w:val="20"/>
          <w:lang w:val="fr-FR"/>
        </w:rPr>
        <w:t xml:space="preserve"> </w:t>
      </w:r>
      <w:hyperlink r:id="rId45">
        <w:r w:rsidR="00981762" w:rsidRPr="00022147">
          <w:rPr>
            <w:color w:val="05037E"/>
            <w:sz w:val="20"/>
            <w:u w:val="single" w:color="05037E"/>
            <w:lang w:val="fr-FR"/>
          </w:rPr>
          <w:t xml:space="preserve">dans un polonaise </w:t>
        </w:r>
      </w:hyperlink>
      <w:hyperlink r:id="rId46">
        <w:r w:rsidR="00981762" w:rsidRPr="00022147">
          <w:rPr>
            <w:color w:val="05037E"/>
            <w:sz w:val="20"/>
            <w:u w:val="single" w:color="05037E"/>
            <w:lang w:val="fr-FR"/>
          </w:rPr>
          <w:t xml:space="preserve">document de discussion de la présidence </w:t>
        </w:r>
      </w:hyperlink>
      <w:r w:rsidR="00981762" w:rsidRPr="00022147">
        <w:rPr>
          <w:sz w:val="20"/>
          <w:lang w:val="fr-FR"/>
        </w:rPr>
        <w:t xml:space="preserve">(5243/25) distribué au </w:t>
      </w:r>
      <w:hyperlink r:id="rId47">
        <w:r w:rsidR="00981762" w:rsidRPr="00022147">
          <w:rPr>
            <w:color w:val="05037E"/>
            <w:sz w:val="20"/>
            <w:u w:val="single" w:color="05037E"/>
            <w:lang w:val="fr-FR"/>
          </w:rPr>
          <w:t>groupe de travail IMEX</w:t>
        </w:r>
      </w:hyperlink>
      <w:r>
        <w:rPr>
          <w:sz w:val="20"/>
          <w:lang w:val="fr-FR"/>
        </w:rPr>
        <w:t>.</w:t>
      </w:r>
      <w:r w:rsidRPr="00EB133D">
        <w:rPr>
          <w:sz w:val="20"/>
          <w:lang w:val="fr-FR"/>
        </w:rPr>
        <w:t xml:space="preserve"> Ce document répond aux évaluations de la Commission européenne</w:t>
      </w:r>
      <w:r>
        <w:rPr>
          <w:sz w:val="20"/>
          <w:lang w:val="fr-FR"/>
        </w:rPr>
        <w:t>.</w:t>
      </w:r>
      <w:r w:rsidR="00981762" w:rsidRPr="00022147">
        <w:rPr>
          <w:sz w:val="20"/>
          <w:lang w:val="fr-FR"/>
        </w:rPr>
        <w:t xml:space="preserve"> </w:t>
      </w:r>
    </w:p>
    <w:p w14:paraId="6A716521" w14:textId="40A1709A" w:rsidR="0099685F" w:rsidRPr="00022147" w:rsidRDefault="00981762">
      <w:pPr>
        <w:pStyle w:val="BodyText"/>
        <w:spacing w:before="159" w:line="259" w:lineRule="auto"/>
        <w:ind w:right="168"/>
        <w:rPr>
          <w:lang w:val="fr-FR"/>
        </w:rPr>
      </w:pPr>
      <w:r w:rsidRPr="00022147">
        <w:rPr>
          <w:sz w:val="20"/>
          <w:lang w:val="fr-FR"/>
        </w:rPr>
        <w:t>Une autre priorité de la présidenc</w:t>
      </w:r>
      <w:r w:rsidR="00EB133D">
        <w:rPr>
          <w:sz w:val="20"/>
          <w:lang w:val="fr-FR"/>
        </w:rPr>
        <w:t xml:space="preserve">e </w:t>
      </w:r>
      <w:r w:rsidRPr="00022147">
        <w:rPr>
          <w:sz w:val="20"/>
          <w:lang w:val="fr-FR"/>
        </w:rPr>
        <w:t>polonaise</w:t>
      </w:r>
      <w:r w:rsidR="00EB133D">
        <w:rPr>
          <w:sz w:val="20"/>
          <w:lang w:val="fr-FR"/>
        </w:rPr>
        <w:t xml:space="preserve"> </w:t>
      </w:r>
      <w:r w:rsidRPr="00022147">
        <w:rPr>
          <w:sz w:val="20"/>
          <w:lang w:val="fr-FR"/>
        </w:rPr>
        <w:t>cette fois</w:t>
      </w:r>
      <w:r w:rsidR="00EB133D">
        <w:rPr>
          <w:sz w:val="20"/>
          <w:lang w:val="fr-FR"/>
        </w:rPr>
        <w:t>-ci</w:t>
      </w:r>
      <w:r w:rsidRPr="00022147">
        <w:rPr>
          <w:sz w:val="20"/>
          <w:lang w:val="fr-FR"/>
        </w:rPr>
        <w:t xml:space="preserve"> pour le </w:t>
      </w:r>
      <w:hyperlink r:id="rId48">
        <w:r w:rsidRPr="00022147">
          <w:rPr>
            <w:color w:val="05037E"/>
            <w:sz w:val="20"/>
            <w:u w:val="single" w:color="05037E"/>
            <w:lang w:val="fr-FR"/>
          </w:rPr>
          <w:t>MOCADEM</w:t>
        </w:r>
      </w:hyperlink>
      <w:r w:rsidRPr="00022147">
        <w:rPr>
          <w:sz w:val="20"/>
          <w:lang w:val="fr-FR"/>
        </w:rPr>
        <w:t xml:space="preserve">, est de se concentrer sur la </w:t>
      </w:r>
      <w:hyperlink r:id="rId49">
        <w:r w:rsidRPr="00022147">
          <w:rPr>
            <w:color w:val="05037E"/>
            <w:sz w:val="20"/>
            <w:u w:val="single" w:color="05037E"/>
            <w:lang w:val="fr-FR"/>
          </w:rPr>
          <w:t>réadmission, entre autres.</w:t>
        </w:r>
      </w:hyperlink>
    </w:p>
    <w:p w14:paraId="1B419987" w14:textId="2B14367C" w:rsidR="0099685F" w:rsidRPr="00BE54AA" w:rsidRDefault="00BE54AA" w:rsidP="00BE54AA">
      <w:pPr>
        <w:pStyle w:val="BodyText"/>
        <w:spacing w:before="160" w:line="259" w:lineRule="auto"/>
        <w:ind w:right="168"/>
        <w:rPr>
          <w:sz w:val="20"/>
          <w:lang w:val="fr-FR"/>
        </w:rPr>
      </w:pPr>
      <w:r w:rsidRPr="00BE54AA">
        <w:rPr>
          <w:sz w:val="20"/>
          <w:lang w:val="fr-FR"/>
        </w:rPr>
        <w:t>L’utilisation de la politique des visas comme levier pour imposer des expulsions de l’UE vers des pays tiers est évoquée dans les récentes c</w:t>
      </w:r>
      <w:r>
        <w:rPr>
          <w:sz w:val="20"/>
          <w:lang w:val="fr-FR"/>
        </w:rPr>
        <w:t>onclusions du Conseil, dont une</w:t>
      </w:r>
      <w:r w:rsidR="00981762" w:rsidRPr="00022147">
        <w:rPr>
          <w:sz w:val="20"/>
          <w:lang w:val="fr-FR"/>
        </w:rPr>
        <w:t xml:space="preserve"> </w:t>
      </w:r>
      <w:hyperlink r:id="rId50">
        <w:r w:rsidR="00981762" w:rsidRPr="00022147">
          <w:rPr>
            <w:color w:val="05037E"/>
            <w:sz w:val="20"/>
            <w:u w:val="single" w:color="05037E"/>
            <w:lang w:val="fr-FR"/>
          </w:rPr>
          <w:t xml:space="preserve">version provisoire </w:t>
        </w:r>
      </w:hyperlink>
      <w:r w:rsidR="00981762" w:rsidRPr="00022147">
        <w:rPr>
          <w:sz w:val="20"/>
          <w:lang w:val="fr-FR"/>
        </w:rPr>
        <w:t xml:space="preserve"> </w:t>
      </w:r>
      <w:r w:rsidRPr="00BE54AA">
        <w:rPr>
          <w:sz w:val="20"/>
          <w:lang w:val="fr-FR"/>
        </w:rPr>
        <w:t>figure dans les archives du groupe de travail sur les visas.</w:t>
      </w:r>
    </w:p>
    <w:p w14:paraId="3EAB9128" w14:textId="6B719EA1" w:rsidR="0099685F" w:rsidRPr="00022147" w:rsidRDefault="00981762">
      <w:pPr>
        <w:pStyle w:val="BodyText"/>
        <w:spacing w:before="159" w:line="259" w:lineRule="auto"/>
        <w:rPr>
          <w:lang w:val="fr-FR"/>
        </w:rPr>
      </w:pPr>
      <w:r w:rsidRPr="00022147">
        <w:rPr>
          <w:sz w:val="20"/>
          <w:lang w:val="fr-FR"/>
        </w:rPr>
        <w:t xml:space="preserve">La </w:t>
      </w:r>
      <w:r w:rsidR="00633999">
        <w:rPr>
          <w:sz w:val="20"/>
          <w:lang w:val="fr-FR"/>
        </w:rPr>
        <w:t xml:space="preserve">question de la </w:t>
      </w:r>
      <w:r w:rsidRPr="00022147">
        <w:rPr>
          <w:sz w:val="20"/>
          <w:lang w:val="fr-FR"/>
        </w:rPr>
        <w:t xml:space="preserve">réadmission est également </w:t>
      </w:r>
      <w:r w:rsidR="00633999">
        <w:rPr>
          <w:sz w:val="20"/>
          <w:lang w:val="fr-FR"/>
        </w:rPr>
        <w:t xml:space="preserve">traitée dans </w:t>
      </w:r>
      <w:hyperlink r:id="rId51">
        <w:r w:rsidR="00633999">
          <w:rPr>
            <w:color w:val="05037E"/>
            <w:sz w:val="20"/>
            <w:u w:val="single" w:color="05037E"/>
            <w:lang w:val="fr-FR"/>
          </w:rPr>
          <w:t>le « dossier d'action »</w:t>
        </w:r>
        <w:r w:rsidRPr="00022147">
          <w:rPr>
            <w:color w:val="05037E"/>
            <w:sz w:val="20"/>
            <w:u w:val="single" w:color="05037E"/>
            <w:lang w:val="fr-FR"/>
          </w:rPr>
          <w:t xml:space="preserve"> faisant suite au plan d'action de l'UE pour </w:t>
        </w:r>
      </w:hyperlink>
      <w:hyperlink r:id="rId52">
        <w:r w:rsidRPr="00022147">
          <w:rPr>
            <w:color w:val="05037E"/>
            <w:sz w:val="20"/>
            <w:u w:val="single" w:color="05037E"/>
            <w:lang w:val="fr-FR"/>
          </w:rPr>
          <w:t>Méditerranée orientale</w:t>
        </w:r>
      </w:hyperlink>
      <w:r w:rsidR="00633999">
        <w:rPr>
          <w:sz w:val="20"/>
          <w:lang w:val="fr-FR"/>
        </w:rPr>
        <w:t>, coordonné</w:t>
      </w:r>
      <w:r w:rsidRPr="00022147">
        <w:rPr>
          <w:sz w:val="20"/>
          <w:lang w:val="fr-FR"/>
        </w:rPr>
        <w:t xml:space="preserve"> par</w:t>
      </w:r>
      <w:r w:rsidR="00633999">
        <w:rPr>
          <w:sz w:val="20"/>
          <w:lang w:val="fr-FR"/>
        </w:rPr>
        <w:t xml:space="preserve"> le</w:t>
      </w:r>
      <w:r w:rsidRPr="00022147">
        <w:rPr>
          <w:sz w:val="20"/>
          <w:lang w:val="fr-FR"/>
        </w:rPr>
        <w:t xml:space="preserve"> </w:t>
      </w:r>
      <w:hyperlink r:id="rId53">
        <w:r w:rsidRPr="00022147">
          <w:rPr>
            <w:color w:val="05037E"/>
            <w:sz w:val="20"/>
            <w:u w:val="single" w:color="05037E"/>
            <w:lang w:val="fr-FR"/>
          </w:rPr>
          <w:t>MOCADEM</w:t>
        </w:r>
        <w:r w:rsidRPr="00022147">
          <w:rPr>
            <w:sz w:val="20"/>
            <w:lang w:val="fr-FR"/>
          </w:rPr>
          <w:t>.</w:t>
        </w:r>
      </w:hyperlink>
    </w:p>
    <w:p w14:paraId="56EC7F73" w14:textId="65FAA16B" w:rsidR="0099685F" w:rsidRPr="00633999" w:rsidRDefault="00633999" w:rsidP="00633999">
      <w:pPr>
        <w:pStyle w:val="BodyText"/>
        <w:spacing w:before="159" w:line="259" w:lineRule="auto"/>
        <w:rPr>
          <w:sz w:val="20"/>
          <w:lang w:val="fr-FR"/>
        </w:rPr>
      </w:pPr>
      <w:r w:rsidRPr="00633999">
        <w:rPr>
          <w:sz w:val="20"/>
          <w:lang w:val="fr-FR"/>
        </w:rPr>
        <w:t>Par ailleurs, selon un</w:t>
      </w:r>
      <w:r>
        <w:rPr>
          <w:sz w:val="20"/>
          <w:lang w:val="fr-FR"/>
        </w:rPr>
        <w:t xml:space="preserve"> </w:t>
      </w:r>
      <w:hyperlink r:id="rId54">
        <w:r w:rsidR="00981762" w:rsidRPr="00022147">
          <w:rPr>
            <w:color w:val="05037E"/>
            <w:sz w:val="20"/>
            <w:u w:val="single" w:color="05037E"/>
            <w:lang w:val="fr-FR"/>
          </w:rPr>
          <w:t xml:space="preserve">rapport de mise en œuvre du </w:t>
        </w:r>
      </w:hyperlink>
      <w:r w:rsidRPr="00633999">
        <w:t xml:space="preserve"> </w:t>
      </w:r>
      <w:r w:rsidRPr="00633999">
        <w:rPr>
          <w:color w:val="05037E"/>
          <w:sz w:val="20"/>
          <w:u w:val="single" w:color="05037E"/>
          <w:lang w:val="fr-FR"/>
        </w:rPr>
        <w:t xml:space="preserve">MOCADEM </w:t>
      </w:r>
      <w:r w:rsidR="00981762" w:rsidRPr="00022147">
        <w:rPr>
          <w:sz w:val="20"/>
          <w:lang w:val="fr-FR"/>
        </w:rPr>
        <w:t>(</w:t>
      </w:r>
      <w:r>
        <w:rPr>
          <w:sz w:val="20"/>
          <w:lang w:val="fr-FR"/>
        </w:rPr>
        <w:t xml:space="preserve"> WK 9925/2024 INIT), </w:t>
      </w:r>
      <w:r w:rsidRPr="00633999">
        <w:rPr>
          <w:sz w:val="20"/>
          <w:lang w:val="fr-FR"/>
        </w:rPr>
        <w:t>l’UE cherche à numériser et accélérer les procédures en place avec le Pakistan, afin de faciliter les expulsions</w:t>
      </w:r>
    </w:p>
    <w:p w14:paraId="49E24966" w14:textId="77777777" w:rsidR="0099685F" w:rsidRPr="00022147" w:rsidRDefault="0099685F">
      <w:pPr>
        <w:pStyle w:val="BodyText"/>
        <w:spacing w:line="259" w:lineRule="auto"/>
        <w:rPr>
          <w:lang w:val="fr-FR"/>
        </w:rPr>
        <w:sectPr w:rsidR="0099685F" w:rsidRPr="00022147">
          <w:pgSz w:w="11910" w:h="16840"/>
          <w:pgMar w:top="1320" w:right="1417" w:bottom="1960" w:left="1275" w:header="0" w:footer="1766" w:gutter="0"/>
          <w:cols w:space="708"/>
        </w:sectPr>
      </w:pPr>
    </w:p>
    <w:p w14:paraId="0926BA1B" w14:textId="3C089332" w:rsidR="0099685F" w:rsidRPr="00633999" w:rsidRDefault="00633999" w:rsidP="00633999">
      <w:pPr>
        <w:pStyle w:val="BodyText"/>
        <w:spacing w:before="79" w:line="259" w:lineRule="auto"/>
        <w:rPr>
          <w:sz w:val="20"/>
          <w:lang w:val="fr-FR"/>
        </w:rPr>
      </w:pPr>
      <w:r w:rsidRPr="00633999">
        <w:rPr>
          <w:sz w:val="20"/>
          <w:lang w:val="fr-FR"/>
        </w:rPr>
        <w:lastRenderedPageBreak/>
        <w:t xml:space="preserve">La réadmission apparaît clairement comme une priorité politique en ce qui concerne la Gambie. </w:t>
      </w:r>
      <w:r>
        <w:rPr>
          <w:sz w:val="20"/>
          <w:lang w:val="fr-FR"/>
        </w:rPr>
        <w:t>Ce sujet est abordé</w:t>
      </w:r>
      <w:r w:rsidR="00981762" w:rsidRPr="00022147">
        <w:rPr>
          <w:sz w:val="20"/>
          <w:lang w:val="fr-FR"/>
        </w:rPr>
        <w:t xml:space="preserve"> dans d</w:t>
      </w:r>
      <w:r>
        <w:rPr>
          <w:sz w:val="20"/>
          <w:lang w:val="fr-FR"/>
        </w:rPr>
        <w:t>eux sections distinctes du</w:t>
      </w:r>
      <w:r w:rsidR="00981762" w:rsidRPr="00022147">
        <w:rPr>
          <w:sz w:val="20"/>
          <w:lang w:val="fr-FR"/>
        </w:rPr>
        <w:t xml:space="preserve"> </w:t>
      </w:r>
      <w:hyperlink r:id="rId55">
        <w:r w:rsidR="00981762" w:rsidRPr="00022147">
          <w:rPr>
            <w:color w:val="05037E"/>
            <w:sz w:val="20"/>
            <w:u w:val="single" w:color="05037E"/>
            <w:lang w:val="fr-FR"/>
          </w:rPr>
          <w:t>dossier d'action MOCADEM sur le pays</w:t>
        </w:r>
      </w:hyperlink>
      <w:r w:rsidR="00981762" w:rsidRPr="00022147">
        <w:rPr>
          <w:sz w:val="20"/>
          <w:lang w:val="fr-FR"/>
        </w:rPr>
        <w:t>.</w:t>
      </w:r>
    </w:p>
    <w:p w14:paraId="2DBE4E70" w14:textId="77777777" w:rsidR="0099685F" w:rsidRPr="00022147" w:rsidRDefault="0099685F">
      <w:pPr>
        <w:pStyle w:val="BodyText"/>
        <w:spacing w:before="60"/>
        <w:ind w:left="0"/>
        <w:rPr>
          <w:sz w:val="26"/>
          <w:lang w:val="fr-FR"/>
        </w:rPr>
      </w:pPr>
    </w:p>
    <w:p w14:paraId="78D3F41A" w14:textId="77777777" w:rsidR="0099685F" w:rsidRPr="00022147" w:rsidRDefault="00981762">
      <w:pPr>
        <w:pStyle w:val="Heading2"/>
        <w:rPr>
          <w:lang w:val="fr-FR"/>
        </w:rPr>
      </w:pPr>
      <w:bookmarkStart w:id="10" w:name="Migration_partnerships"/>
      <w:bookmarkStart w:id="11" w:name="_bookmark5"/>
      <w:bookmarkEnd w:id="10"/>
      <w:bookmarkEnd w:id="11"/>
      <w:r w:rsidRPr="00022147">
        <w:rPr>
          <w:spacing w:val="-2"/>
          <w:sz w:val="24"/>
          <w:lang w:val="fr-FR"/>
        </w:rPr>
        <w:t xml:space="preserve">Partenariats </w:t>
      </w:r>
      <w:r w:rsidRPr="00022147">
        <w:rPr>
          <w:sz w:val="24"/>
          <w:lang w:val="fr-FR"/>
        </w:rPr>
        <w:t>migratoires</w:t>
      </w:r>
    </w:p>
    <w:p w14:paraId="76488C58" w14:textId="1D661B66" w:rsidR="0099685F" w:rsidRPr="00022147" w:rsidRDefault="00981762">
      <w:pPr>
        <w:pStyle w:val="BodyText"/>
        <w:spacing w:before="180" w:line="288" w:lineRule="auto"/>
        <w:rPr>
          <w:lang w:val="fr-FR"/>
        </w:rPr>
      </w:pPr>
      <w:r w:rsidRPr="00022147">
        <w:rPr>
          <w:sz w:val="20"/>
          <w:lang w:val="fr-FR"/>
        </w:rPr>
        <w:t xml:space="preserve">En janvier, la dernière </w:t>
      </w:r>
      <w:hyperlink r:id="rId56">
        <w:r w:rsidRPr="00022147">
          <w:rPr>
            <w:color w:val="05037E"/>
            <w:sz w:val="20"/>
            <w:u w:val="single" w:color="05037E"/>
            <w:lang w:val="fr-FR"/>
          </w:rPr>
          <w:t xml:space="preserve">liste des réunions, accords et arrangements de l'UE avec des non membres de l'UE </w:t>
        </w:r>
      </w:hyperlink>
      <w:hyperlink r:id="rId57">
        <w:r w:rsidR="00282F82">
          <w:rPr>
            <w:color w:val="05037E"/>
            <w:sz w:val="20"/>
            <w:u w:val="single" w:color="05037E"/>
            <w:lang w:val="fr-FR"/>
          </w:rPr>
          <w:t>États ainsi qu’avec des « processus »</w:t>
        </w:r>
        <w:r w:rsidRPr="00022147">
          <w:rPr>
            <w:color w:val="05037E"/>
            <w:sz w:val="20"/>
            <w:u w:val="single" w:color="05037E"/>
            <w:lang w:val="fr-FR"/>
          </w:rPr>
          <w:t xml:space="preserve"> régionaux </w:t>
        </w:r>
      </w:hyperlink>
      <w:r w:rsidRPr="00022147">
        <w:rPr>
          <w:sz w:val="20"/>
          <w:lang w:val="fr-FR"/>
        </w:rPr>
        <w:t>(</w:t>
      </w:r>
      <w:r w:rsidR="00282F82">
        <w:rPr>
          <w:sz w:val="20"/>
          <w:lang w:val="fr-FR"/>
        </w:rPr>
        <w:t>document 5235/25) a été publi</w:t>
      </w:r>
      <w:r w:rsidRPr="00022147">
        <w:rPr>
          <w:sz w:val="20"/>
          <w:lang w:val="fr-FR"/>
        </w:rPr>
        <w:t>ée.</w:t>
      </w:r>
    </w:p>
    <w:p w14:paraId="583CF265" w14:textId="77131694" w:rsidR="0099685F" w:rsidRPr="00022147" w:rsidRDefault="001B70FD">
      <w:pPr>
        <w:pStyle w:val="BodyText"/>
        <w:spacing w:line="288" w:lineRule="auto"/>
        <w:ind w:right="33"/>
        <w:rPr>
          <w:lang w:val="fr-FR"/>
        </w:rPr>
      </w:pPr>
      <w:r w:rsidRPr="001B70FD">
        <w:rPr>
          <w:sz w:val="20"/>
          <w:lang w:val="fr-FR"/>
        </w:rPr>
        <w:t xml:space="preserve">La coopération entre l’UE et la Tunisie y est abordée à travers </w:t>
      </w:r>
      <w:hyperlink r:id="rId58">
        <w:r w:rsidR="00981762" w:rsidRPr="00022147">
          <w:rPr>
            <w:color w:val="05037E"/>
            <w:sz w:val="20"/>
            <w:u w:val="single" w:color="05037E"/>
            <w:lang w:val="fr-FR"/>
          </w:rPr>
          <w:t>un fichier d'action MOCADEM</w:t>
        </w:r>
      </w:hyperlink>
      <w:r>
        <w:rPr>
          <w:sz w:val="20"/>
          <w:lang w:val="fr-FR"/>
        </w:rPr>
        <w:t>, bien que celui-ci soit en grande partie</w:t>
      </w:r>
      <w:r w:rsidR="00981762" w:rsidRPr="00022147">
        <w:rPr>
          <w:sz w:val="20"/>
          <w:lang w:val="fr-FR"/>
        </w:rPr>
        <w:t xml:space="preserve"> </w:t>
      </w:r>
      <w:r>
        <w:rPr>
          <w:sz w:val="20"/>
          <w:lang w:val="fr-FR"/>
        </w:rPr>
        <w:t>censuré</w:t>
      </w:r>
      <w:r w:rsidR="00981762" w:rsidRPr="00022147">
        <w:rPr>
          <w:sz w:val="20"/>
          <w:lang w:val="fr-FR"/>
        </w:rPr>
        <w:t xml:space="preserve">. </w:t>
      </w:r>
      <w:r w:rsidRPr="001B70FD">
        <w:rPr>
          <w:sz w:val="20"/>
          <w:lang w:val="fr-FR"/>
        </w:rPr>
        <w:t>Les sections accessibles traitent principalement d’actions menées en 2023 et au début de</w:t>
      </w:r>
      <w:r>
        <w:rPr>
          <w:sz w:val="20"/>
          <w:lang w:val="fr-FR"/>
        </w:rPr>
        <w:t xml:space="preserve"> l’année</w:t>
      </w:r>
      <w:r w:rsidRPr="001B70FD">
        <w:rPr>
          <w:sz w:val="20"/>
          <w:lang w:val="fr-FR"/>
        </w:rPr>
        <w:t xml:space="preserve"> 2024.</w:t>
      </w:r>
    </w:p>
    <w:p w14:paraId="251BF584" w14:textId="0237C844" w:rsidR="001B70FD" w:rsidRDefault="001B70FD">
      <w:pPr>
        <w:pStyle w:val="BodyText"/>
        <w:spacing w:line="288" w:lineRule="auto"/>
        <w:rPr>
          <w:sz w:val="20"/>
          <w:lang w:val="fr-FR"/>
        </w:rPr>
      </w:pPr>
      <w:r w:rsidRPr="001B70FD">
        <w:rPr>
          <w:sz w:val="20"/>
          <w:lang w:val="fr-FR"/>
        </w:rPr>
        <w:t>Il y est mentionné qu’un contrat de lutte contre la contrebande devait être signé au dernier trimestre 2024, afin de renforcer les capacités répressives des autorités tunisiennes.</w:t>
      </w:r>
    </w:p>
    <w:p w14:paraId="29CB5E0F" w14:textId="3EDEC358" w:rsidR="001B70FD" w:rsidRDefault="001B70FD">
      <w:pPr>
        <w:pStyle w:val="BodyText"/>
        <w:spacing w:line="288" w:lineRule="auto"/>
        <w:ind w:right="34"/>
        <w:rPr>
          <w:sz w:val="20"/>
          <w:lang w:val="fr-FR"/>
        </w:rPr>
      </w:pPr>
      <w:r w:rsidRPr="001B70FD">
        <w:rPr>
          <w:sz w:val="20"/>
          <w:lang w:val="fr-FR"/>
        </w:rPr>
        <w:t>Un autre dossier MOCADEM, daté de mai 2024 et portant sur les Balkans occidentaux</w:t>
      </w:r>
    </w:p>
    <w:p w14:paraId="50557158" w14:textId="03331CA2" w:rsidR="00AE155E" w:rsidRDefault="00981762">
      <w:pPr>
        <w:pStyle w:val="BodyText"/>
        <w:spacing w:line="288" w:lineRule="auto"/>
        <w:ind w:right="34"/>
        <w:rPr>
          <w:sz w:val="20"/>
          <w:lang w:val="fr-FR"/>
        </w:rPr>
      </w:pPr>
      <w:r w:rsidRPr="00022147">
        <w:rPr>
          <w:sz w:val="20"/>
          <w:lang w:val="fr-FR"/>
        </w:rPr>
        <w:t>Un</w:t>
      </w:r>
      <w:r w:rsidR="001B70FD">
        <w:rPr>
          <w:sz w:val="20"/>
          <w:lang w:val="fr-FR"/>
        </w:rPr>
        <w:t xml:space="preserve"> autre</w:t>
      </w:r>
      <w:r w:rsidRPr="00022147">
        <w:rPr>
          <w:sz w:val="20"/>
          <w:lang w:val="fr-FR"/>
        </w:rPr>
        <w:t xml:space="preserve"> </w:t>
      </w:r>
      <w:hyperlink r:id="rId59">
        <w:r w:rsidRPr="00022147">
          <w:rPr>
            <w:color w:val="05037E"/>
            <w:sz w:val="20"/>
            <w:u w:val="single" w:color="05037E"/>
            <w:lang w:val="fr-FR"/>
          </w:rPr>
          <w:t>dossier d'action du MOCADEM</w:t>
        </w:r>
        <w:r w:rsidR="00AE155E">
          <w:rPr>
            <w:color w:val="05037E"/>
            <w:sz w:val="20"/>
            <w:u w:val="single" w:color="05037E"/>
            <w:lang w:val="fr-FR"/>
          </w:rPr>
          <w:t>, daté de mai 2024 et portant</w:t>
        </w:r>
        <w:r w:rsidRPr="00022147">
          <w:rPr>
            <w:color w:val="05037E"/>
            <w:sz w:val="20"/>
            <w:u w:val="single" w:color="05037E"/>
            <w:lang w:val="fr-FR"/>
          </w:rPr>
          <w:t xml:space="preserve"> sur les Balkans occidentaux </w:t>
        </w:r>
      </w:hyperlink>
      <w:r w:rsidRPr="00022147">
        <w:rPr>
          <w:sz w:val="20"/>
          <w:lang w:val="fr-FR"/>
        </w:rPr>
        <w:t xml:space="preserve">(daté de mai 2024) </w:t>
      </w:r>
      <w:r w:rsidR="00AE155E" w:rsidRPr="00AE155E">
        <w:rPr>
          <w:sz w:val="20"/>
          <w:lang w:val="fr-FR"/>
        </w:rPr>
        <w:t xml:space="preserve">, indique que des </w:t>
      </w:r>
      <w:r w:rsidR="00AE155E">
        <w:rPr>
          <w:sz w:val="20"/>
          <w:lang w:val="fr-FR"/>
        </w:rPr>
        <w:t>« </w:t>
      </w:r>
      <w:r w:rsidR="00AE155E" w:rsidRPr="00AE155E">
        <w:rPr>
          <w:sz w:val="20"/>
          <w:lang w:val="fr-FR"/>
        </w:rPr>
        <w:t>feuilles de route</w:t>
      </w:r>
      <w:r w:rsidR="00AE155E">
        <w:rPr>
          <w:sz w:val="20"/>
          <w:lang w:val="fr-FR"/>
        </w:rPr>
        <w:t> »</w:t>
      </w:r>
      <w:r w:rsidR="00AE155E" w:rsidRPr="00AE155E">
        <w:rPr>
          <w:sz w:val="20"/>
          <w:lang w:val="fr-FR"/>
        </w:rPr>
        <w:t xml:space="preserve"> pluriannuelles en matière d’asile doivent être adoptées en 2024 pour tous les États de la région, dans le cadre de leur alignement progressif avec la législation de l’UE.</w:t>
      </w:r>
    </w:p>
    <w:p w14:paraId="58DF7C99" w14:textId="0ED53CC3" w:rsidR="0099685F" w:rsidRPr="00022147" w:rsidRDefault="00981762">
      <w:pPr>
        <w:pStyle w:val="BodyText"/>
        <w:rPr>
          <w:lang w:val="fr-FR"/>
        </w:rPr>
      </w:pPr>
      <w:r w:rsidRPr="00022147">
        <w:rPr>
          <w:sz w:val="20"/>
          <w:lang w:val="fr-FR"/>
        </w:rPr>
        <w:t xml:space="preserve">D'autres </w:t>
      </w:r>
      <w:hyperlink r:id="rId60" w:anchor="mocademother">
        <w:r w:rsidRPr="00022147">
          <w:rPr>
            <w:color w:val="05037E"/>
            <w:sz w:val="20"/>
            <w:u w:val="single" w:color="05037E"/>
            <w:lang w:val="fr-FR"/>
          </w:rPr>
          <w:t xml:space="preserve">dossiers d'action MOCADEM et rapports de mise en œuvre publiés avec ce bulletin </w:t>
        </w:r>
      </w:hyperlink>
      <w:r w:rsidR="00AE155E">
        <w:rPr>
          <w:spacing w:val="-2"/>
          <w:sz w:val="20"/>
          <w:lang w:val="fr-FR"/>
        </w:rPr>
        <w:t>couvrent :</w:t>
      </w:r>
    </w:p>
    <w:p w14:paraId="10BBDBF7" w14:textId="77777777" w:rsidR="0099685F" w:rsidRDefault="00981762">
      <w:pPr>
        <w:pStyle w:val="ListParagraph"/>
        <w:numPr>
          <w:ilvl w:val="0"/>
          <w:numId w:val="2"/>
        </w:numPr>
        <w:tabs>
          <w:tab w:val="left" w:pos="862"/>
        </w:tabs>
        <w:spacing w:before="182"/>
        <w:rPr>
          <w:rFonts w:ascii="Calibri" w:hAnsi="Calibri"/>
        </w:rPr>
      </w:pPr>
      <w:hyperlink r:id="rId61">
        <w:proofErr w:type="spellStart"/>
        <w:r>
          <w:rPr>
            <w:color w:val="05037E"/>
            <w:spacing w:val="-2"/>
            <w:sz w:val="20"/>
            <w:u w:val="single" w:color="05037E"/>
          </w:rPr>
          <w:t>Méditerranée</w:t>
        </w:r>
        <w:proofErr w:type="spellEnd"/>
        <w:r>
          <w:rPr>
            <w:color w:val="05037E"/>
            <w:spacing w:val="-2"/>
            <w:sz w:val="20"/>
            <w:u w:val="single" w:color="05037E"/>
          </w:rPr>
          <w:t xml:space="preserve"> </w:t>
        </w:r>
        <w:r>
          <w:rPr>
            <w:color w:val="05037E"/>
            <w:sz w:val="20"/>
            <w:u w:val="single" w:color="05037E"/>
          </w:rPr>
          <w:t>centrale</w:t>
        </w:r>
      </w:hyperlink>
    </w:p>
    <w:p w14:paraId="11F2592B" w14:textId="77777777" w:rsidR="0099685F" w:rsidRDefault="00981762">
      <w:pPr>
        <w:pStyle w:val="ListParagraph"/>
        <w:numPr>
          <w:ilvl w:val="0"/>
          <w:numId w:val="2"/>
        </w:numPr>
        <w:tabs>
          <w:tab w:val="left" w:pos="862"/>
        </w:tabs>
        <w:spacing w:before="50"/>
        <w:rPr>
          <w:rFonts w:ascii="Calibri" w:hAnsi="Calibri"/>
        </w:rPr>
      </w:pPr>
      <w:hyperlink r:id="rId62">
        <w:proofErr w:type="spellStart"/>
        <w:r>
          <w:rPr>
            <w:color w:val="05037E"/>
            <w:spacing w:val="-2"/>
            <w:sz w:val="20"/>
            <w:u w:val="single" w:color="05037E"/>
          </w:rPr>
          <w:t>Méditerranée</w:t>
        </w:r>
        <w:proofErr w:type="spellEnd"/>
        <w:r>
          <w:rPr>
            <w:color w:val="05037E"/>
            <w:spacing w:val="-2"/>
            <w:sz w:val="20"/>
            <w:u w:val="single" w:color="05037E"/>
          </w:rPr>
          <w:t xml:space="preserve"> </w:t>
        </w:r>
        <w:r>
          <w:rPr>
            <w:color w:val="05037E"/>
            <w:sz w:val="20"/>
            <w:u w:val="single" w:color="05037E"/>
          </w:rPr>
          <w:t>orientale</w:t>
        </w:r>
      </w:hyperlink>
    </w:p>
    <w:p w14:paraId="19537036" w14:textId="77777777" w:rsidR="0099685F" w:rsidRDefault="00981762">
      <w:pPr>
        <w:pStyle w:val="ListParagraph"/>
        <w:numPr>
          <w:ilvl w:val="0"/>
          <w:numId w:val="2"/>
        </w:numPr>
        <w:tabs>
          <w:tab w:val="left" w:pos="862"/>
        </w:tabs>
        <w:spacing w:before="49"/>
        <w:rPr>
          <w:rFonts w:ascii="Calibri" w:hAnsi="Calibri"/>
        </w:rPr>
      </w:pPr>
      <w:hyperlink r:id="rId63">
        <w:r>
          <w:rPr>
            <w:color w:val="05037E"/>
            <w:spacing w:val="-2"/>
            <w:sz w:val="20"/>
            <w:u w:val="single" w:color="05037E"/>
          </w:rPr>
          <w:t>Pakistan</w:t>
        </w:r>
      </w:hyperlink>
    </w:p>
    <w:p w14:paraId="310473D3" w14:textId="77777777" w:rsidR="0099685F" w:rsidRDefault="00981762">
      <w:pPr>
        <w:pStyle w:val="ListParagraph"/>
        <w:numPr>
          <w:ilvl w:val="0"/>
          <w:numId w:val="2"/>
        </w:numPr>
        <w:tabs>
          <w:tab w:val="left" w:pos="862"/>
        </w:tabs>
        <w:spacing w:before="51"/>
        <w:rPr>
          <w:rFonts w:ascii="Calibri" w:hAnsi="Calibri"/>
        </w:rPr>
      </w:pPr>
      <w:hyperlink r:id="rId64">
        <w:r>
          <w:rPr>
            <w:color w:val="05037E"/>
            <w:spacing w:val="-2"/>
            <w:sz w:val="20"/>
            <w:u w:val="single" w:color="05037E"/>
          </w:rPr>
          <w:t>Gambie</w:t>
        </w:r>
      </w:hyperlink>
    </w:p>
    <w:p w14:paraId="12DC45F0" w14:textId="40A97AD8" w:rsidR="0099685F" w:rsidRPr="00022147" w:rsidRDefault="00981762">
      <w:pPr>
        <w:pStyle w:val="BodyText"/>
        <w:spacing w:before="158" w:line="288" w:lineRule="auto"/>
        <w:rPr>
          <w:lang w:val="fr-FR"/>
        </w:rPr>
      </w:pPr>
      <w:r w:rsidRPr="00022147">
        <w:rPr>
          <w:sz w:val="20"/>
          <w:lang w:val="fr-FR"/>
        </w:rPr>
        <w:t xml:space="preserve">La situation </w:t>
      </w:r>
      <w:r w:rsidR="00AE155E">
        <w:rPr>
          <w:sz w:val="20"/>
          <w:lang w:val="fr-FR"/>
        </w:rPr>
        <w:t>migratoire dans la Manche a été abord</w:t>
      </w:r>
      <w:r w:rsidRPr="00022147">
        <w:rPr>
          <w:sz w:val="20"/>
          <w:lang w:val="fr-FR"/>
        </w:rPr>
        <w:t>ée</w:t>
      </w:r>
      <w:r w:rsidR="00AE155E">
        <w:rPr>
          <w:sz w:val="20"/>
          <w:lang w:val="fr-FR"/>
        </w:rPr>
        <w:t xml:space="preserve"> en janvier</w:t>
      </w:r>
      <w:r w:rsidRPr="00022147">
        <w:rPr>
          <w:sz w:val="20"/>
          <w:lang w:val="fr-FR"/>
        </w:rPr>
        <w:t xml:space="preserve"> </w:t>
      </w:r>
      <w:hyperlink r:id="rId65">
        <w:r w:rsidRPr="00022147">
          <w:rPr>
            <w:color w:val="05037E"/>
            <w:sz w:val="20"/>
            <w:u w:val="single" w:color="05037E"/>
            <w:lang w:val="fr-FR"/>
          </w:rPr>
          <w:t xml:space="preserve">dans un document de la présidence polonaise </w:t>
        </w:r>
      </w:hyperlink>
      <w:r w:rsidRPr="00022147">
        <w:rPr>
          <w:sz w:val="20"/>
          <w:lang w:val="fr-FR"/>
        </w:rPr>
        <w:t>pour le SEMP (5380/25).</w:t>
      </w:r>
    </w:p>
    <w:p w14:paraId="5F14388B" w14:textId="189FF411" w:rsidR="00AE155E" w:rsidRDefault="00AE155E">
      <w:pPr>
        <w:pStyle w:val="BodyText"/>
        <w:spacing w:line="288" w:lineRule="auto"/>
        <w:rPr>
          <w:sz w:val="20"/>
          <w:lang w:val="fr-FR"/>
        </w:rPr>
      </w:pPr>
      <w:r w:rsidRPr="00AE155E">
        <w:rPr>
          <w:sz w:val="20"/>
          <w:lang w:val="fr-FR"/>
        </w:rPr>
        <w:t xml:space="preserve">La présidence y interroge la nécessité de renforcer la surveillance de la région, les </w:t>
      </w:r>
      <w:r>
        <w:rPr>
          <w:sz w:val="20"/>
          <w:lang w:val="fr-FR"/>
        </w:rPr>
        <w:t>« </w:t>
      </w:r>
      <w:r w:rsidRPr="00AE155E">
        <w:rPr>
          <w:sz w:val="20"/>
          <w:lang w:val="fr-FR"/>
        </w:rPr>
        <w:t>mesures ou instruments</w:t>
      </w:r>
      <w:r>
        <w:rPr>
          <w:sz w:val="20"/>
          <w:lang w:val="fr-FR"/>
        </w:rPr>
        <w:t> »</w:t>
      </w:r>
      <w:r w:rsidRPr="00AE155E">
        <w:rPr>
          <w:sz w:val="20"/>
          <w:lang w:val="fr-FR"/>
        </w:rPr>
        <w:t xml:space="preserve"> pouvant être mobilisés pour </w:t>
      </w:r>
      <w:r>
        <w:rPr>
          <w:sz w:val="20"/>
          <w:lang w:val="fr-FR"/>
        </w:rPr>
        <w:t>« </w:t>
      </w:r>
      <w:r w:rsidRPr="00AE155E">
        <w:rPr>
          <w:sz w:val="20"/>
          <w:lang w:val="fr-FR"/>
        </w:rPr>
        <w:t>réduire la pression</w:t>
      </w:r>
      <w:r>
        <w:rPr>
          <w:sz w:val="20"/>
          <w:lang w:val="fr-FR"/>
        </w:rPr>
        <w:t> »</w:t>
      </w:r>
      <w:r w:rsidRPr="00AE155E">
        <w:rPr>
          <w:sz w:val="20"/>
          <w:lang w:val="fr-FR"/>
        </w:rPr>
        <w:t xml:space="preserve"> migratoire, ainsi que les moyens d'un meilleur engagement avec les </w:t>
      </w:r>
      <w:r>
        <w:rPr>
          <w:sz w:val="20"/>
          <w:lang w:val="fr-FR"/>
        </w:rPr>
        <w:t>« </w:t>
      </w:r>
      <w:r w:rsidRPr="00AE155E">
        <w:rPr>
          <w:sz w:val="20"/>
          <w:lang w:val="fr-FR"/>
        </w:rPr>
        <w:t>pays d’origine et de transit</w:t>
      </w:r>
      <w:r>
        <w:rPr>
          <w:sz w:val="20"/>
          <w:lang w:val="fr-FR"/>
        </w:rPr>
        <w:t> »</w:t>
      </w:r>
      <w:r w:rsidRPr="00AE155E">
        <w:rPr>
          <w:sz w:val="20"/>
          <w:lang w:val="fr-FR"/>
        </w:rPr>
        <w:t>.</w:t>
      </w:r>
    </w:p>
    <w:p w14:paraId="1E91DA80" w14:textId="1E318DF0" w:rsidR="0099685F" w:rsidRPr="00C160C4" w:rsidRDefault="00C160C4" w:rsidP="00C160C4">
      <w:pPr>
        <w:pStyle w:val="BodyText"/>
        <w:spacing w:line="400" w:lineRule="auto"/>
        <w:ind w:right="452"/>
        <w:rPr>
          <w:sz w:val="20"/>
          <w:lang w:val="fr-FR"/>
        </w:rPr>
      </w:pPr>
      <w:r>
        <w:rPr>
          <w:sz w:val="20"/>
          <w:lang w:val="fr-FR"/>
        </w:rPr>
        <w:t>À noter qu’</w:t>
      </w:r>
      <w:r w:rsidRPr="00C160C4">
        <w:rPr>
          <w:sz w:val="20"/>
          <w:lang w:val="fr-FR"/>
        </w:rPr>
        <w:t>aucune mention explicite d’une coopération avec le Royaume-Un</w:t>
      </w:r>
      <w:r>
        <w:rPr>
          <w:sz w:val="20"/>
          <w:lang w:val="fr-FR"/>
        </w:rPr>
        <w:t>i n’est faite dans ce document. La région des « Routes de la soie »</w:t>
      </w:r>
      <w:r w:rsidRPr="00C160C4">
        <w:rPr>
          <w:sz w:val="20"/>
          <w:lang w:val="fr-FR"/>
        </w:rPr>
        <w:t xml:space="preserve"> a fait l’objet d’une discussion au SEMP en octobre dernier, sur la base d’un</w:t>
      </w:r>
      <w:r>
        <w:rPr>
          <w:sz w:val="20"/>
          <w:lang w:val="fr-FR"/>
        </w:rPr>
        <w:t xml:space="preserve"> </w:t>
      </w:r>
      <w:hyperlink r:id="rId66">
        <w:r w:rsidR="00981762" w:rsidRPr="00022147">
          <w:rPr>
            <w:color w:val="05037E"/>
            <w:sz w:val="20"/>
            <w:u w:val="single" w:color="05037E"/>
            <w:lang w:val="fr-FR"/>
          </w:rPr>
          <w:t xml:space="preserve">document de la présidence hongroise </w:t>
        </w:r>
      </w:hyperlink>
      <w:r w:rsidR="00981762" w:rsidRPr="00022147">
        <w:rPr>
          <w:sz w:val="20"/>
          <w:lang w:val="fr-FR"/>
        </w:rPr>
        <w:t>(14100/24)</w:t>
      </w:r>
      <w:r w:rsidRPr="00C160C4">
        <w:rPr>
          <w:sz w:val="20"/>
          <w:lang w:val="fr-FR"/>
        </w:rPr>
        <w:t>, qui mentionne notamment l’Afghanistan, le Bangladesh, l’Inde, l’Irak et le Pakistan</w:t>
      </w:r>
    </w:p>
    <w:p w14:paraId="5C78304C" w14:textId="7C414711" w:rsidR="0099685F" w:rsidRPr="00C160C4" w:rsidRDefault="00C160C4" w:rsidP="00C160C4">
      <w:pPr>
        <w:pStyle w:val="BodyText"/>
        <w:spacing w:line="288" w:lineRule="auto"/>
        <w:ind w:right="168"/>
        <w:rPr>
          <w:sz w:val="20"/>
          <w:lang w:val="fr-FR"/>
        </w:rPr>
      </w:pPr>
      <w:r w:rsidRPr="00C160C4">
        <w:rPr>
          <w:sz w:val="20"/>
          <w:lang w:val="fr-FR"/>
        </w:rPr>
        <w:t xml:space="preserve">Il y est suggéré que des </w:t>
      </w:r>
      <w:r>
        <w:rPr>
          <w:sz w:val="20"/>
          <w:lang w:val="fr-FR"/>
        </w:rPr>
        <w:t>« </w:t>
      </w:r>
      <w:r w:rsidRPr="00C160C4">
        <w:rPr>
          <w:sz w:val="20"/>
          <w:lang w:val="fr-FR"/>
        </w:rPr>
        <w:t>partenariats pour les talents</w:t>
      </w:r>
      <w:r>
        <w:rPr>
          <w:sz w:val="20"/>
          <w:lang w:val="fr-FR"/>
        </w:rPr>
        <w:t> »</w:t>
      </w:r>
      <w:r w:rsidRPr="00C160C4">
        <w:rPr>
          <w:sz w:val="20"/>
          <w:lang w:val="fr-FR"/>
        </w:rPr>
        <w:t xml:space="preserve"> avec le Bangladesh et le Pakistan pourraient contribuer à réduire l’immigration irrégulière depuis ces pays vers l’UE.</w:t>
      </w:r>
    </w:p>
    <w:p w14:paraId="09E1BE9C" w14:textId="3D01A929" w:rsidR="0099685F" w:rsidRPr="00022147" w:rsidRDefault="00C160C4">
      <w:pPr>
        <w:pStyle w:val="BodyText"/>
        <w:spacing w:line="288" w:lineRule="auto"/>
        <w:ind w:right="34"/>
        <w:rPr>
          <w:lang w:val="fr-FR"/>
        </w:rPr>
      </w:pPr>
      <w:r>
        <w:rPr>
          <w:sz w:val="20"/>
          <w:lang w:val="fr-FR"/>
        </w:rPr>
        <w:t>Par ailleurs, l</w:t>
      </w:r>
      <w:r w:rsidR="00981762" w:rsidRPr="00022147">
        <w:rPr>
          <w:sz w:val="20"/>
          <w:lang w:val="fr-FR"/>
        </w:rPr>
        <w:t>a région des Routes de la Soie est également traitée par le pro</w:t>
      </w:r>
      <w:r>
        <w:rPr>
          <w:sz w:val="20"/>
          <w:lang w:val="fr-FR"/>
        </w:rPr>
        <w:t>cessus multilatéral de Budapest, où l</w:t>
      </w:r>
      <w:r w:rsidR="00981762" w:rsidRPr="00022147">
        <w:rPr>
          <w:sz w:val="20"/>
          <w:lang w:val="fr-FR"/>
        </w:rPr>
        <w:t>e PTME a discuté</w:t>
      </w:r>
      <w:r>
        <w:rPr>
          <w:sz w:val="20"/>
          <w:lang w:val="fr-FR"/>
        </w:rPr>
        <w:t xml:space="preserve"> en octobre</w:t>
      </w:r>
      <w:r w:rsidR="00981762" w:rsidRPr="00022147">
        <w:rPr>
          <w:sz w:val="20"/>
          <w:lang w:val="fr-FR"/>
        </w:rPr>
        <w:t xml:space="preserve"> d'un </w:t>
      </w:r>
      <w:hyperlink r:id="rId67">
        <w:r w:rsidR="00981762" w:rsidRPr="00022147">
          <w:rPr>
            <w:color w:val="05037E"/>
            <w:sz w:val="20"/>
            <w:u w:val="single" w:color="05037E"/>
            <w:lang w:val="fr-FR"/>
          </w:rPr>
          <w:t xml:space="preserve">projet de déclaration et d'appel à l'action pour la période 2025-30 </w:t>
        </w:r>
      </w:hyperlink>
      <w:r>
        <w:rPr>
          <w:sz w:val="20"/>
          <w:lang w:val="fr-FR"/>
        </w:rPr>
        <w:t xml:space="preserve">(14102/24), depuis </w:t>
      </w:r>
      <w:hyperlink r:id="rId68">
        <w:r w:rsidR="00981762" w:rsidRPr="00022147">
          <w:rPr>
            <w:color w:val="05037E"/>
            <w:sz w:val="20"/>
            <w:u w:val="single" w:color="05037E"/>
            <w:lang w:val="fr-FR"/>
          </w:rPr>
          <w:t>finalisés et publiés</w:t>
        </w:r>
      </w:hyperlink>
      <w:r w:rsidR="00981762" w:rsidRPr="00022147">
        <w:rPr>
          <w:sz w:val="20"/>
          <w:lang w:val="fr-FR"/>
        </w:rPr>
        <w:t>.</w:t>
      </w:r>
    </w:p>
    <w:p w14:paraId="345A28D6" w14:textId="054237B1" w:rsidR="0099685F" w:rsidRPr="00022147" w:rsidRDefault="00C37887">
      <w:pPr>
        <w:pStyle w:val="BodyText"/>
        <w:spacing w:line="288" w:lineRule="auto"/>
        <w:rPr>
          <w:lang w:val="fr-FR"/>
        </w:rPr>
      </w:pPr>
      <w:r>
        <w:rPr>
          <w:sz w:val="20"/>
          <w:lang w:val="fr-FR"/>
        </w:rPr>
        <w:t>Le rôle plus large des « </w:t>
      </w:r>
      <w:r w:rsidR="00981762" w:rsidRPr="00022147">
        <w:rPr>
          <w:sz w:val="20"/>
          <w:lang w:val="fr-FR"/>
        </w:rPr>
        <w:t>régionaux</w:t>
      </w:r>
      <w:r>
        <w:rPr>
          <w:sz w:val="20"/>
          <w:lang w:val="fr-FR"/>
        </w:rPr>
        <w:t xml:space="preserve"> processus »</w:t>
      </w:r>
      <w:r w:rsidR="00981762" w:rsidRPr="00022147">
        <w:rPr>
          <w:sz w:val="20"/>
          <w:lang w:val="fr-FR"/>
        </w:rPr>
        <w:t xml:space="preserve"> a été évoqué </w:t>
      </w:r>
      <w:hyperlink r:id="rId69">
        <w:r w:rsidR="00981762" w:rsidRPr="00022147">
          <w:rPr>
            <w:color w:val="05037E"/>
            <w:sz w:val="20"/>
            <w:u w:val="single" w:color="05037E"/>
            <w:lang w:val="fr-FR"/>
          </w:rPr>
          <w:t xml:space="preserve">dans un discussion de la présidence hongroise </w:t>
        </w:r>
      </w:hyperlink>
      <w:hyperlink r:id="rId70">
        <w:r w:rsidR="00981762" w:rsidRPr="00022147">
          <w:rPr>
            <w:color w:val="05037E"/>
            <w:sz w:val="20"/>
            <w:u w:val="single" w:color="05037E"/>
            <w:lang w:val="fr-FR"/>
          </w:rPr>
          <w:t xml:space="preserve"> </w:t>
        </w:r>
      </w:hyperlink>
      <w:r w:rsidR="00981762" w:rsidRPr="00022147">
        <w:rPr>
          <w:sz w:val="20"/>
          <w:lang w:val="fr-FR"/>
        </w:rPr>
        <w:t>(14872/24) datant</w:t>
      </w:r>
      <w:r>
        <w:rPr>
          <w:sz w:val="20"/>
          <w:lang w:val="fr-FR"/>
        </w:rPr>
        <w:t xml:space="preserve"> de novembre 2024</w:t>
      </w:r>
      <w:r w:rsidR="00981762" w:rsidRPr="00022147">
        <w:rPr>
          <w:sz w:val="20"/>
          <w:lang w:val="fr-FR"/>
        </w:rPr>
        <w:t>.</w:t>
      </w:r>
    </w:p>
    <w:p w14:paraId="01DD5C22" w14:textId="77777777" w:rsidR="0099685F" w:rsidRPr="00022147" w:rsidRDefault="0099685F">
      <w:pPr>
        <w:pStyle w:val="BodyText"/>
        <w:spacing w:line="288" w:lineRule="auto"/>
        <w:rPr>
          <w:lang w:val="fr-FR"/>
        </w:rPr>
        <w:sectPr w:rsidR="0099685F" w:rsidRPr="00022147">
          <w:pgSz w:w="11910" w:h="16840"/>
          <w:pgMar w:top="1320" w:right="1417" w:bottom="1960" w:left="1275" w:header="0" w:footer="1766" w:gutter="0"/>
          <w:cols w:space="708"/>
        </w:sectPr>
      </w:pPr>
    </w:p>
    <w:p w14:paraId="678C6C03" w14:textId="58EFB102" w:rsidR="00C37887" w:rsidRDefault="00C37887" w:rsidP="00C37887">
      <w:pPr>
        <w:pStyle w:val="BodyText"/>
        <w:spacing w:before="79" w:line="288" w:lineRule="auto"/>
        <w:ind w:right="168" w:hanging="1"/>
        <w:rPr>
          <w:sz w:val="20"/>
          <w:lang w:val="fr-FR"/>
        </w:rPr>
      </w:pPr>
      <w:r>
        <w:rPr>
          <w:sz w:val="20"/>
          <w:lang w:val="fr-FR"/>
        </w:rPr>
        <w:lastRenderedPageBreak/>
        <w:t>Enfin, un document à l'intention de</w:t>
      </w:r>
      <w:r w:rsidR="00981762" w:rsidRPr="00022147">
        <w:rPr>
          <w:sz w:val="20"/>
          <w:lang w:val="fr-FR"/>
        </w:rPr>
        <w:t xml:space="preserve">s délégations au sein du </w:t>
      </w:r>
      <w:hyperlink r:id="rId71">
        <w:r w:rsidR="00981762" w:rsidRPr="00022147">
          <w:rPr>
            <w:color w:val="05037E"/>
            <w:sz w:val="20"/>
            <w:u w:val="single" w:color="05037E"/>
            <w:lang w:val="fr-FR"/>
          </w:rPr>
          <w:t xml:space="preserve">PTMF </w:t>
        </w:r>
      </w:hyperlink>
      <w:r w:rsidR="00981762" w:rsidRPr="00022147">
        <w:rPr>
          <w:sz w:val="20"/>
          <w:lang w:val="fr-FR"/>
        </w:rPr>
        <w:t xml:space="preserve">était </w:t>
      </w:r>
      <w:r>
        <w:rPr>
          <w:sz w:val="20"/>
          <w:lang w:val="fr-FR"/>
        </w:rPr>
        <w:t xml:space="preserve">soulève une question centrale : </w:t>
      </w:r>
      <w:r w:rsidRPr="00C37887">
        <w:rPr>
          <w:sz w:val="20"/>
          <w:lang w:val="fr-FR"/>
        </w:rPr>
        <w:t>comment les processus et dialogues régionaux peuvent-ils contribuer au développement de partenariats globaux avec des pays tiers ?</w:t>
      </w:r>
    </w:p>
    <w:p w14:paraId="6959CF11" w14:textId="77777777" w:rsidR="00C37887" w:rsidRDefault="00C37887">
      <w:pPr>
        <w:pStyle w:val="BodyText"/>
        <w:spacing w:before="79" w:line="288" w:lineRule="auto"/>
        <w:ind w:right="168" w:hanging="1"/>
        <w:rPr>
          <w:sz w:val="20"/>
          <w:lang w:val="fr-FR"/>
        </w:rPr>
      </w:pPr>
    </w:p>
    <w:p w14:paraId="1C1CD617" w14:textId="77777777" w:rsidR="0099685F" w:rsidRPr="00022147" w:rsidRDefault="0099685F">
      <w:pPr>
        <w:pStyle w:val="BodyText"/>
        <w:spacing w:before="106"/>
        <w:ind w:left="0"/>
        <w:rPr>
          <w:lang w:val="fr-FR"/>
        </w:rPr>
      </w:pPr>
    </w:p>
    <w:p w14:paraId="194DED0D" w14:textId="77777777" w:rsidR="0099685F" w:rsidRPr="00022147" w:rsidRDefault="00981762">
      <w:pPr>
        <w:pStyle w:val="Heading2"/>
        <w:rPr>
          <w:lang w:val="fr-FR"/>
        </w:rPr>
      </w:pPr>
      <w:bookmarkStart w:id="12" w:name="Other"/>
      <w:bookmarkStart w:id="13" w:name="_bookmark6"/>
      <w:bookmarkEnd w:id="12"/>
      <w:bookmarkEnd w:id="13"/>
      <w:r w:rsidRPr="00022147">
        <w:rPr>
          <w:spacing w:val="-2"/>
          <w:sz w:val="24"/>
          <w:lang w:val="fr-FR"/>
        </w:rPr>
        <w:t>Autres</w:t>
      </w:r>
    </w:p>
    <w:p w14:paraId="3E9B55FC" w14:textId="55A5A2CD" w:rsidR="00C37887" w:rsidRPr="00022147" w:rsidRDefault="00981762" w:rsidP="00A27DBA">
      <w:pPr>
        <w:pStyle w:val="BodyText"/>
        <w:spacing w:before="180" w:line="259" w:lineRule="auto"/>
        <w:rPr>
          <w:lang w:val="fr-FR"/>
        </w:rPr>
        <w:sectPr w:rsidR="00C37887" w:rsidRPr="00022147">
          <w:pgSz w:w="11910" w:h="16840"/>
          <w:pgMar w:top="1320" w:right="1417" w:bottom="1960" w:left="1275" w:header="0" w:footer="1766" w:gutter="0"/>
          <w:cols w:space="708"/>
        </w:sectPr>
      </w:pPr>
      <w:r w:rsidRPr="00022147">
        <w:rPr>
          <w:sz w:val="20"/>
          <w:lang w:val="fr-FR"/>
        </w:rPr>
        <w:t xml:space="preserve">De nombreux documents examinés par le </w:t>
      </w:r>
      <w:hyperlink r:id="rId72">
        <w:r w:rsidRPr="00022147">
          <w:rPr>
            <w:color w:val="05037E"/>
            <w:sz w:val="20"/>
            <w:u w:val="single" w:color="05037E"/>
            <w:lang w:val="fr-FR"/>
          </w:rPr>
          <w:t xml:space="preserve">groupe de travail sur les </w:t>
        </w:r>
      </w:hyperlink>
      <w:r w:rsidRPr="00022147">
        <w:rPr>
          <w:sz w:val="20"/>
          <w:lang w:val="fr-FR"/>
        </w:rPr>
        <w:t xml:space="preserve">visas </w:t>
      </w:r>
      <w:r w:rsidR="00A27DBA" w:rsidRPr="00A27DBA">
        <w:rPr>
          <w:sz w:val="20"/>
          <w:lang w:val="fr-FR"/>
        </w:rPr>
        <w:t>témoignent d’une évolution vers une utilisation plus stratégique de la politique des visas, notamment comme levier</w:t>
      </w:r>
      <w:r w:rsidR="00A27DBA">
        <w:rPr>
          <w:sz w:val="20"/>
          <w:lang w:val="fr-FR"/>
        </w:rPr>
        <w:t xml:space="preserve"> pour faciliter les expulsions. </w:t>
      </w:r>
      <w:r w:rsidR="00A27DBA" w:rsidRPr="00A27DBA">
        <w:rPr>
          <w:sz w:val="20"/>
          <w:lang w:val="fr-FR"/>
        </w:rPr>
        <w:t xml:space="preserve">Des discussions ont également porté sur la lutte contre les </w:t>
      </w:r>
      <w:r w:rsidR="00A27DBA">
        <w:rPr>
          <w:sz w:val="20"/>
          <w:lang w:val="fr-FR"/>
        </w:rPr>
        <w:t>« </w:t>
      </w:r>
      <w:r w:rsidR="00A27DBA" w:rsidRPr="00A27DBA">
        <w:rPr>
          <w:sz w:val="20"/>
          <w:lang w:val="fr-FR"/>
        </w:rPr>
        <w:t>abus de visa</w:t>
      </w:r>
      <w:r w:rsidR="00A27DBA">
        <w:rPr>
          <w:sz w:val="20"/>
          <w:lang w:val="fr-FR"/>
        </w:rPr>
        <w:t> »</w:t>
      </w:r>
      <w:r w:rsidR="00A27DBA" w:rsidRPr="00A27DBA">
        <w:rPr>
          <w:sz w:val="20"/>
          <w:lang w:val="fr-FR"/>
        </w:rPr>
        <w:t>, un rapport de la Commission sur le mécanisme de suspension des visas de l’UE, ainsi que d’autres aspects liés à la gestion</w:t>
      </w:r>
      <w:r w:rsidR="00A27DBA">
        <w:rPr>
          <w:sz w:val="20"/>
          <w:lang w:val="fr-FR"/>
        </w:rPr>
        <w:t xml:space="preserve"> des régimes de visas. </w:t>
      </w:r>
      <w:r w:rsidR="00A27DBA" w:rsidRPr="00A27DBA">
        <w:rPr>
          <w:sz w:val="20"/>
          <w:lang w:val="fr-FR"/>
        </w:rPr>
        <w:t xml:space="preserve"> </w:t>
      </w:r>
    </w:p>
    <w:p w14:paraId="08EA9FB4" w14:textId="77777777" w:rsidR="0099685F" w:rsidRPr="00022147" w:rsidRDefault="00981762">
      <w:pPr>
        <w:spacing w:before="79"/>
        <w:ind w:left="142"/>
        <w:rPr>
          <w:b/>
          <w:sz w:val="28"/>
          <w:lang w:val="fr-FR"/>
        </w:rPr>
      </w:pPr>
      <w:bookmarkStart w:id="14" w:name="Jurisprudence_updates"/>
      <w:bookmarkStart w:id="15" w:name="_bookmark7"/>
      <w:bookmarkEnd w:id="14"/>
      <w:bookmarkEnd w:id="15"/>
      <w:r w:rsidRPr="00022147">
        <w:rPr>
          <w:b/>
          <w:spacing w:val="-2"/>
          <w:sz w:val="26"/>
          <w:lang w:val="fr-FR"/>
        </w:rPr>
        <w:lastRenderedPageBreak/>
        <w:t>Mises à jour de la jurisprudence</w:t>
      </w:r>
    </w:p>
    <w:p w14:paraId="2BFD7CFB" w14:textId="77777777" w:rsidR="0099685F" w:rsidRDefault="00981762">
      <w:pPr>
        <w:pStyle w:val="BodyText"/>
        <w:spacing w:before="184"/>
      </w:pPr>
      <w:proofErr w:type="spellStart"/>
      <w:r>
        <w:rPr>
          <w:spacing w:val="-2"/>
          <w:sz w:val="20"/>
        </w:rPr>
        <w:t>Contenu</w:t>
      </w:r>
      <w:proofErr w:type="spellEnd"/>
    </w:p>
    <w:p w14:paraId="36B072B0" w14:textId="733ACA0C" w:rsidR="0099685F" w:rsidRPr="00022147" w:rsidRDefault="00981762">
      <w:pPr>
        <w:pStyle w:val="ListParagraph"/>
        <w:numPr>
          <w:ilvl w:val="0"/>
          <w:numId w:val="2"/>
        </w:numPr>
        <w:tabs>
          <w:tab w:val="left" w:pos="862"/>
        </w:tabs>
        <w:spacing w:before="171" w:line="280" w:lineRule="auto"/>
        <w:ind w:right="63"/>
        <w:rPr>
          <w:rFonts w:ascii="Calibri" w:hAnsi="Calibri"/>
          <w:sz w:val="20"/>
          <w:lang w:val="fr-FR"/>
        </w:rPr>
      </w:pPr>
      <w:r w:rsidRPr="00022147">
        <w:rPr>
          <w:b/>
          <w:color w:val="05037E"/>
          <w:sz w:val="20"/>
          <w:u w:val="single" w:color="05037E"/>
          <w:lang w:val="fr-FR"/>
        </w:rPr>
        <w:t>Détention extraterritoriale et responsabilité de : l'Etat Décisions du dans les affai</w:t>
      </w:r>
      <w:r w:rsidR="00C13B8E">
        <w:rPr>
          <w:b/>
          <w:color w:val="05037E"/>
          <w:sz w:val="20"/>
          <w:u w:val="single" w:color="05037E"/>
          <w:lang w:val="fr-FR"/>
        </w:rPr>
        <w:t>res Comité des droits humains</w:t>
      </w:r>
      <w:r w:rsidRPr="00022147">
        <w:rPr>
          <w:b/>
          <w:color w:val="05037E"/>
          <w:sz w:val="20"/>
          <w:u w:val="single" w:color="05037E"/>
          <w:lang w:val="fr-FR"/>
        </w:rPr>
        <w:t xml:space="preserve"> des Nations unies </w:t>
      </w:r>
      <w:r w:rsidRPr="00022147">
        <w:rPr>
          <w:b/>
          <w:i/>
          <w:color w:val="05037E"/>
          <w:sz w:val="20"/>
          <w:u w:val="single" w:color="05037E"/>
          <w:lang w:val="fr-FR"/>
        </w:rPr>
        <w:t xml:space="preserve">M.I. </w:t>
      </w:r>
      <w:r w:rsidRPr="00022147">
        <w:rPr>
          <w:b/>
          <w:color w:val="05037E"/>
          <w:sz w:val="20"/>
          <w:u w:val="single" w:color="05037E"/>
          <w:lang w:val="fr-FR"/>
        </w:rPr>
        <w:t xml:space="preserve">et </w:t>
      </w:r>
      <w:proofErr w:type="spellStart"/>
      <w:r w:rsidRPr="00022147">
        <w:rPr>
          <w:b/>
          <w:i/>
          <w:color w:val="05037E"/>
          <w:sz w:val="20"/>
          <w:u w:val="single" w:color="05037E"/>
          <w:lang w:val="fr-FR"/>
        </w:rPr>
        <w:t>Nabhari</w:t>
      </w:r>
      <w:proofErr w:type="spellEnd"/>
      <w:r w:rsidRPr="00022147">
        <w:rPr>
          <w:b/>
          <w:i/>
          <w:color w:val="05037E"/>
          <w:sz w:val="20"/>
          <w:u w:val="single" w:color="05037E"/>
          <w:lang w:val="fr-FR"/>
        </w:rPr>
        <w:t xml:space="preserve"> </w:t>
      </w:r>
      <w:r w:rsidRPr="00022147">
        <w:rPr>
          <w:sz w:val="20"/>
          <w:lang w:val="fr-FR"/>
        </w:rPr>
        <w:t xml:space="preserve">par </w:t>
      </w:r>
      <w:proofErr w:type="spellStart"/>
      <w:r w:rsidRPr="00022147">
        <w:rPr>
          <w:sz w:val="20"/>
          <w:lang w:val="fr-FR"/>
        </w:rPr>
        <w:t>Izabella</w:t>
      </w:r>
      <w:proofErr w:type="spellEnd"/>
      <w:r w:rsidRPr="00022147">
        <w:rPr>
          <w:sz w:val="20"/>
          <w:lang w:val="fr-FR"/>
        </w:rPr>
        <w:t xml:space="preserve"> </w:t>
      </w:r>
      <w:proofErr w:type="spellStart"/>
      <w:r w:rsidRPr="00022147">
        <w:rPr>
          <w:sz w:val="20"/>
          <w:lang w:val="fr-FR"/>
        </w:rPr>
        <w:t>Majcher</w:t>
      </w:r>
      <w:proofErr w:type="spellEnd"/>
    </w:p>
    <w:p w14:paraId="2A2CAB0C" w14:textId="116B12D6" w:rsidR="0099685F" w:rsidRPr="00022147" w:rsidRDefault="00981762">
      <w:pPr>
        <w:pStyle w:val="Heading3"/>
        <w:numPr>
          <w:ilvl w:val="0"/>
          <w:numId w:val="2"/>
        </w:numPr>
        <w:tabs>
          <w:tab w:val="left" w:pos="862"/>
        </w:tabs>
        <w:spacing w:before="128" w:line="280" w:lineRule="auto"/>
        <w:ind w:right="1005"/>
        <w:rPr>
          <w:rFonts w:ascii="Calibri" w:hAnsi="Calibri"/>
          <w:b w:val="0"/>
          <w:sz w:val="20"/>
          <w:lang w:val="fr-FR"/>
        </w:rPr>
      </w:pPr>
      <w:r w:rsidRPr="00022147">
        <w:rPr>
          <w:color w:val="05037E"/>
          <w:sz w:val="20"/>
          <w:u w:val="single" w:color="05037E"/>
          <w:lang w:val="fr-FR"/>
        </w:rPr>
        <w:t>La Cour eu</w:t>
      </w:r>
      <w:r w:rsidR="00C13B8E">
        <w:rPr>
          <w:color w:val="05037E"/>
          <w:sz w:val="20"/>
          <w:u w:val="single" w:color="05037E"/>
          <w:lang w:val="fr-FR"/>
        </w:rPr>
        <w:t>ropéenne des droits humains</w:t>
      </w:r>
      <w:r w:rsidRPr="00022147">
        <w:rPr>
          <w:color w:val="05037E"/>
          <w:sz w:val="20"/>
          <w:u w:val="single" w:color="05037E"/>
          <w:lang w:val="fr-FR"/>
        </w:rPr>
        <w:t xml:space="preserve"> place la barre très haut en matière de preuves dans les affaires de refoulement contre la Grèce présumé </w:t>
      </w:r>
      <w:r w:rsidRPr="00022147">
        <w:rPr>
          <w:b w:val="0"/>
          <w:sz w:val="20"/>
          <w:lang w:val="fr-FR"/>
        </w:rPr>
        <w:t xml:space="preserve">par </w:t>
      </w:r>
      <w:proofErr w:type="spellStart"/>
      <w:r w:rsidRPr="00022147">
        <w:rPr>
          <w:b w:val="0"/>
          <w:sz w:val="20"/>
          <w:lang w:val="fr-FR"/>
        </w:rPr>
        <w:t>Ayşe</w:t>
      </w:r>
      <w:proofErr w:type="spellEnd"/>
      <w:r w:rsidRPr="00022147">
        <w:rPr>
          <w:b w:val="0"/>
          <w:sz w:val="20"/>
          <w:lang w:val="fr-FR"/>
        </w:rPr>
        <w:t xml:space="preserve"> </w:t>
      </w:r>
      <w:proofErr w:type="spellStart"/>
      <w:r w:rsidRPr="00022147">
        <w:rPr>
          <w:b w:val="0"/>
          <w:sz w:val="20"/>
          <w:lang w:val="fr-FR"/>
        </w:rPr>
        <w:t>Dicle</w:t>
      </w:r>
      <w:proofErr w:type="spellEnd"/>
      <w:r w:rsidRPr="00022147">
        <w:rPr>
          <w:b w:val="0"/>
          <w:sz w:val="20"/>
          <w:lang w:val="fr-FR"/>
        </w:rPr>
        <w:t xml:space="preserve"> </w:t>
      </w:r>
      <w:proofErr w:type="spellStart"/>
      <w:r w:rsidRPr="00022147">
        <w:rPr>
          <w:b w:val="0"/>
          <w:sz w:val="20"/>
          <w:lang w:val="fr-FR"/>
        </w:rPr>
        <w:t>Ergin</w:t>
      </w:r>
      <w:proofErr w:type="spellEnd"/>
    </w:p>
    <w:p w14:paraId="0EAAAE6C" w14:textId="77777777" w:rsidR="0099685F" w:rsidRPr="00022147" w:rsidRDefault="00981762">
      <w:pPr>
        <w:pStyle w:val="ListParagraph"/>
        <w:numPr>
          <w:ilvl w:val="0"/>
          <w:numId w:val="2"/>
        </w:numPr>
        <w:tabs>
          <w:tab w:val="left" w:pos="862"/>
        </w:tabs>
        <w:spacing w:before="128" w:line="280" w:lineRule="auto"/>
        <w:ind w:right="185"/>
        <w:rPr>
          <w:rFonts w:ascii="Calibri" w:hAnsi="Calibri"/>
          <w:sz w:val="20"/>
          <w:lang w:val="fr-FR"/>
        </w:rPr>
      </w:pPr>
      <w:r w:rsidRPr="00022147">
        <w:rPr>
          <w:b/>
          <w:color w:val="05037E"/>
          <w:sz w:val="20"/>
          <w:u w:val="single" w:color="05037E"/>
          <w:lang w:val="fr-FR"/>
        </w:rPr>
        <w:t xml:space="preserve">Remise en cause de l'externalisation des : frontières partialité des preuves et violations de procédure dans l'affaire </w:t>
      </w:r>
      <w:r w:rsidRPr="00022147">
        <w:rPr>
          <w:b/>
          <w:i/>
          <w:color w:val="05037E"/>
          <w:sz w:val="20"/>
          <w:u w:val="single" w:color="05037E"/>
          <w:lang w:val="fr-FR"/>
        </w:rPr>
        <w:t xml:space="preserve">M.A. </w:t>
      </w:r>
      <w:r w:rsidRPr="00022147">
        <w:rPr>
          <w:b/>
          <w:color w:val="05037E"/>
          <w:sz w:val="20"/>
          <w:u w:val="single" w:color="05037E"/>
          <w:lang w:val="fr-FR"/>
        </w:rPr>
        <w:t xml:space="preserve">et </w:t>
      </w:r>
      <w:r w:rsidRPr="00022147">
        <w:rPr>
          <w:b/>
          <w:i/>
          <w:color w:val="05037E"/>
          <w:sz w:val="20"/>
          <w:u w:val="single" w:color="05037E"/>
          <w:lang w:val="fr-FR"/>
        </w:rPr>
        <w:t xml:space="preserve">Z.R. c. Chypre </w:t>
      </w:r>
      <w:r w:rsidRPr="00022147">
        <w:rPr>
          <w:sz w:val="20"/>
          <w:lang w:val="fr-FR"/>
        </w:rPr>
        <w:t xml:space="preserve">par Vicky </w:t>
      </w:r>
      <w:proofErr w:type="spellStart"/>
      <w:r w:rsidRPr="00022147">
        <w:rPr>
          <w:sz w:val="20"/>
          <w:lang w:val="fr-FR"/>
        </w:rPr>
        <w:t>Kapogianni</w:t>
      </w:r>
      <w:proofErr w:type="spellEnd"/>
    </w:p>
    <w:p w14:paraId="44F22E84" w14:textId="77777777" w:rsidR="0099685F" w:rsidRPr="00022147" w:rsidRDefault="0099685F">
      <w:pPr>
        <w:pStyle w:val="BodyText"/>
        <w:spacing w:before="69"/>
        <w:ind w:left="0"/>
        <w:rPr>
          <w:sz w:val="26"/>
          <w:lang w:val="fr-FR"/>
        </w:rPr>
      </w:pPr>
    </w:p>
    <w:p w14:paraId="19EF4A28" w14:textId="77777777" w:rsidR="0099685F" w:rsidRPr="00022147" w:rsidRDefault="00981762">
      <w:pPr>
        <w:spacing w:line="288" w:lineRule="auto"/>
        <w:ind w:left="142"/>
        <w:rPr>
          <w:b/>
          <w:i/>
          <w:sz w:val="26"/>
          <w:lang w:val="fr-FR"/>
        </w:rPr>
      </w:pPr>
      <w:bookmarkStart w:id="16" w:name="Extraterritorial_detention_and_state_res"/>
      <w:bookmarkEnd w:id="16"/>
      <w:r w:rsidRPr="00022147">
        <w:rPr>
          <w:b/>
          <w:sz w:val="24"/>
          <w:lang w:val="fr-FR"/>
        </w:rPr>
        <w:t xml:space="preserve">Détention extraterritoriale et responsabilité de : l'État Décisions du Comité des droits de </w:t>
      </w:r>
      <w:proofErr w:type="spellStart"/>
      <w:r w:rsidRPr="00022147">
        <w:rPr>
          <w:b/>
          <w:sz w:val="24"/>
          <w:lang w:val="fr-FR"/>
        </w:rPr>
        <w:t>ldans</w:t>
      </w:r>
      <w:proofErr w:type="spellEnd"/>
      <w:r w:rsidRPr="00022147">
        <w:rPr>
          <w:b/>
          <w:sz w:val="24"/>
          <w:lang w:val="fr-FR"/>
        </w:rPr>
        <w:t xml:space="preserve"> les affaires 'homme des Nations unies </w:t>
      </w:r>
      <w:r w:rsidRPr="00022147">
        <w:rPr>
          <w:b/>
          <w:i/>
          <w:sz w:val="24"/>
          <w:lang w:val="fr-FR"/>
        </w:rPr>
        <w:t xml:space="preserve">M.I. </w:t>
      </w:r>
      <w:r w:rsidRPr="00022147">
        <w:rPr>
          <w:b/>
          <w:sz w:val="24"/>
          <w:lang w:val="fr-FR"/>
        </w:rPr>
        <w:t xml:space="preserve">et </w:t>
      </w:r>
      <w:proofErr w:type="spellStart"/>
      <w:r w:rsidRPr="00022147">
        <w:rPr>
          <w:b/>
          <w:i/>
          <w:sz w:val="24"/>
          <w:lang w:val="fr-FR"/>
        </w:rPr>
        <w:t>Nabhari</w:t>
      </w:r>
      <w:proofErr w:type="spellEnd"/>
    </w:p>
    <w:p w14:paraId="0BFCAFF5" w14:textId="33492B92" w:rsidR="0099685F" w:rsidRPr="00022147" w:rsidRDefault="00981762">
      <w:pPr>
        <w:spacing w:before="120"/>
        <w:ind w:left="142"/>
        <w:rPr>
          <w:i/>
          <w:lang w:val="fr-FR"/>
        </w:rPr>
      </w:pPr>
      <w:r w:rsidRPr="00022147">
        <w:rPr>
          <w:i/>
          <w:sz w:val="20"/>
          <w:lang w:val="fr-FR"/>
        </w:rPr>
        <w:t>Mots-clés : Détention d', immigrants</w:t>
      </w:r>
      <w:r w:rsidR="00A27DBA">
        <w:rPr>
          <w:i/>
          <w:sz w:val="20"/>
          <w:lang w:val="fr-FR"/>
        </w:rPr>
        <w:t xml:space="preserve"> </w:t>
      </w:r>
      <w:r w:rsidR="00A27DBA" w:rsidRPr="00022147">
        <w:rPr>
          <w:i/>
          <w:sz w:val="20"/>
          <w:lang w:val="fr-FR"/>
        </w:rPr>
        <w:t>détention,</w:t>
      </w:r>
      <w:r w:rsidRPr="00022147">
        <w:rPr>
          <w:i/>
          <w:sz w:val="20"/>
          <w:lang w:val="fr-FR"/>
        </w:rPr>
        <w:t xml:space="preserve"> extraterritoriale</w:t>
      </w:r>
      <w:r w:rsidR="00A27DBA">
        <w:rPr>
          <w:i/>
          <w:sz w:val="20"/>
          <w:lang w:val="fr-FR"/>
        </w:rPr>
        <w:t xml:space="preserve"> </w:t>
      </w:r>
      <w:r w:rsidRPr="00022147">
        <w:rPr>
          <w:i/>
          <w:sz w:val="20"/>
          <w:lang w:val="fr-FR"/>
        </w:rPr>
        <w:t xml:space="preserve">traitement ; offshore </w:t>
      </w:r>
      <w:r w:rsidRPr="00022147">
        <w:rPr>
          <w:i/>
          <w:spacing w:val="-2"/>
          <w:sz w:val="20"/>
          <w:lang w:val="fr-FR"/>
        </w:rPr>
        <w:t>juridiction</w:t>
      </w:r>
    </w:p>
    <w:p w14:paraId="45FA7B10" w14:textId="22EE95FC" w:rsidR="00A27DBA" w:rsidRDefault="00A27DBA" w:rsidP="00A27DBA">
      <w:pPr>
        <w:pStyle w:val="BodyText"/>
        <w:spacing w:before="171" w:line="288" w:lineRule="auto"/>
        <w:ind w:left="0" w:right="72"/>
        <w:rPr>
          <w:sz w:val="20"/>
          <w:lang w:val="fr-FR"/>
        </w:rPr>
      </w:pPr>
    </w:p>
    <w:p w14:paraId="77F71228" w14:textId="17535F7B" w:rsidR="0099685F" w:rsidRPr="00022147" w:rsidRDefault="00981762">
      <w:pPr>
        <w:pStyle w:val="BodyText"/>
        <w:spacing w:before="171" w:line="288" w:lineRule="auto"/>
        <w:ind w:right="72"/>
        <w:rPr>
          <w:lang w:val="fr-FR"/>
        </w:rPr>
      </w:pPr>
      <w:r w:rsidRPr="00022147">
        <w:rPr>
          <w:sz w:val="20"/>
          <w:lang w:val="fr-FR"/>
        </w:rPr>
        <w:t xml:space="preserve">Dans deux décisions historiques contre l'Australie, le </w:t>
      </w:r>
      <w:hyperlink r:id="rId73">
        <w:r w:rsidR="00C13B8E">
          <w:rPr>
            <w:color w:val="05037E"/>
            <w:sz w:val="20"/>
            <w:u w:val="single" w:color="05037E"/>
            <w:lang w:val="fr-FR"/>
          </w:rPr>
          <w:t>Comité des droits humains</w:t>
        </w:r>
        <w:r w:rsidRPr="00022147">
          <w:rPr>
            <w:color w:val="05037E"/>
            <w:sz w:val="20"/>
            <w:u w:val="single" w:color="05037E"/>
            <w:lang w:val="fr-FR"/>
          </w:rPr>
          <w:t xml:space="preserve"> des Nations unies </w:t>
        </w:r>
      </w:hyperlink>
      <w:r w:rsidRPr="00022147">
        <w:rPr>
          <w:sz w:val="20"/>
          <w:lang w:val="fr-FR"/>
        </w:rPr>
        <w:t>a réaffirmé que</w:t>
      </w:r>
      <w:r w:rsidR="00A27DBA">
        <w:rPr>
          <w:sz w:val="20"/>
          <w:lang w:val="fr-FR"/>
        </w:rPr>
        <w:t xml:space="preserve"> </w:t>
      </w:r>
      <w:r w:rsidR="00A27DBA" w:rsidRPr="00A27DBA">
        <w:rPr>
          <w:sz w:val="20"/>
          <w:lang w:val="fr-FR"/>
        </w:rPr>
        <w:t xml:space="preserve">conformément au Pacte international relatif aux droits civils et politiques (PIDCP), </w:t>
      </w:r>
      <w:r w:rsidRPr="00022147">
        <w:rPr>
          <w:sz w:val="20"/>
          <w:lang w:val="fr-FR"/>
        </w:rPr>
        <w:t xml:space="preserve"> les États </w:t>
      </w:r>
      <w:r w:rsidR="00A27DBA" w:rsidRPr="00A27DBA">
        <w:rPr>
          <w:sz w:val="20"/>
          <w:lang w:val="fr-FR"/>
        </w:rPr>
        <w:t xml:space="preserve">demeurent responsables </w:t>
      </w:r>
      <w:r w:rsidRPr="00022147">
        <w:rPr>
          <w:sz w:val="20"/>
          <w:lang w:val="fr-FR"/>
        </w:rPr>
        <w:t xml:space="preserve">du traitement des personnes détenues dans des centres offshore, </w:t>
      </w:r>
      <w:r w:rsidR="00560925">
        <w:rPr>
          <w:sz w:val="20"/>
          <w:lang w:val="fr-FR"/>
        </w:rPr>
        <w:t xml:space="preserve">dès lors </w:t>
      </w:r>
      <w:r w:rsidRPr="00022147">
        <w:rPr>
          <w:sz w:val="20"/>
          <w:lang w:val="fr-FR"/>
        </w:rPr>
        <w:t>qu'ils exercent un contrôle effectif sur ces opé</w:t>
      </w:r>
      <w:r w:rsidR="00560925">
        <w:rPr>
          <w:sz w:val="20"/>
          <w:lang w:val="fr-FR"/>
        </w:rPr>
        <w:t xml:space="preserve">rations. Ces décisions visent le transfert </w:t>
      </w:r>
      <w:r w:rsidRPr="00022147">
        <w:rPr>
          <w:sz w:val="20"/>
          <w:lang w:val="fr-FR"/>
        </w:rPr>
        <w:t xml:space="preserve"> de demandeurs d'asile </w:t>
      </w:r>
      <w:r w:rsidR="00560925">
        <w:rPr>
          <w:sz w:val="20"/>
          <w:lang w:val="fr-FR"/>
        </w:rPr>
        <w:t xml:space="preserve">par </w:t>
      </w:r>
      <w:r w:rsidR="00560925" w:rsidRPr="00560925">
        <w:rPr>
          <w:sz w:val="20"/>
          <w:lang w:val="fr-FR"/>
        </w:rPr>
        <w:t xml:space="preserve">l'Australie </w:t>
      </w:r>
      <w:r w:rsidRPr="00022147">
        <w:rPr>
          <w:sz w:val="20"/>
          <w:lang w:val="fr-FR"/>
        </w:rPr>
        <w:t>vers le centre régional de traitement (RPC) de Nauru en vertu de deux protocoles d</w:t>
      </w:r>
      <w:r w:rsidR="00560925">
        <w:rPr>
          <w:sz w:val="20"/>
          <w:lang w:val="fr-FR"/>
        </w:rPr>
        <w:t xml:space="preserve">’accord </w:t>
      </w:r>
      <w:hyperlink r:id="rId74">
        <w:r w:rsidRPr="00022147">
          <w:rPr>
            <w:color w:val="05037E"/>
            <w:sz w:val="20"/>
            <w:u w:val="single" w:color="05037E"/>
            <w:lang w:val="fr-FR"/>
          </w:rPr>
          <w:t xml:space="preserve">international relatif aux droits civils et politiques </w:t>
        </w:r>
      </w:hyperlink>
      <w:r w:rsidRPr="00022147">
        <w:rPr>
          <w:sz w:val="20"/>
          <w:lang w:val="fr-FR"/>
        </w:rPr>
        <w:t xml:space="preserve"> conclus entre les deux pa</w:t>
      </w:r>
      <w:r w:rsidR="00560925">
        <w:rPr>
          <w:sz w:val="20"/>
          <w:lang w:val="fr-FR"/>
        </w:rPr>
        <w:t>ys, qui autorisent le</w:t>
      </w:r>
      <w:r w:rsidRPr="00022147">
        <w:rPr>
          <w:sz w:val="20"/>
          <w:lang w:val="fr-FR"/>
        </w:rPr>
        <w:t xml:space="preserve"> transférer vers Nauru les demandeurs d'asile arrivant par la mer.</w:t>
      </w:r>
    </w:p>
    <w:p w14:paraId="5C8085A9" w14:textId="35F7607A" w:rsidR="0099685F" w:rsidRPr="00A44695" w:rsidRDefault="00560925" w:rsidP="00A44695">
      <w:pPr>
        <w:pStyle w:val="BodyText"/>
        <w:spacing w:before="119" w:line="288" w:lineRule="auto"/>
        <w:ind w:right="34"/>
        <w:rPr>
          <w:sz w:val="20"/>
          <w:lang w:val="fr-FR"/>
        </w:rPr>
      </w:pPr>
      <w:r w:rsidRPr="00560925">
        <w:rPr>
          <w:sz w:val="20"/>
          <w:lang w:val="fr-FR"/>
        </w:rPr>
        <w:t>L’affaire concernait 24 enfants non accompagnés originaires d’Irak, d’Iran, d’Afghanistan, du Pakistan, des Maldives, du Sri Lanka et du Myanmar</w:t>
      </w:r>
      <w:r>
        <w:rPr>
          <w:sz w:val="20"/>
          <w:lang w:val="fr-FR"/>
        </w:rPr>
        <w:t xml:space="preserve"> (</w:t>
      </w:r>
      <w:r w:rsidR="00981762" w:rsidRPr="00022147">
        <w:rPr>
          <w:color w:val="05037E"/>
          <w:sz w:val="20"/>
          <w:u w:val="single" w:color="05037E"/>
          <w:lang w:val="fr-FR"/>
        </w:rPr>
        <w:t>M.I. et al.</w:t>
      </w:r>
      <w:r w:rsidR="00A44695">
        <w:rPr>
          <w:color w:val="05037E"/>
          <w:sz w:val="20"/>
          <w:u w:val="single" w:color="05037E"/>
          <w:lang w:val="fr-FR"/>
        </w:rPr>
        <w:t>)</w:t>
      </w:r>
      <w:r w:rsidR="00981762" w:rsidRPr="00022147">
        <w:rPr>
          <w:color w:val="05037E"/>
          <w:sz w:val="20"/>
          <w:u w:val="single" w:color="05037E"/>
          <w:lang w:val="fr-FR"/>
        </w:rPr>
        <w:t xml:space="preserve"> </w:t>
      </w:r>
      <w:r w:rsidR="00A44695">
        <w:rPr>
          <w:color w:val="05037E"/>
          <w:sz w:val="20"/>
          <w:u w:val="single" w:color="05037E"/>
          <w:lang w:val="fr-FR"/>
        </w:rPr>
        <w:t>,</w:t>
      </w:r>
      <w:r w:rsidR="00981762" w:rsidRPr="00022147">
        <w:rPr>
          <w:sz w:val="20"/>
          <w:lang w:val="fr-FR"/>
        </w:rPr>
        <w:t xml:space="preserve"> </w:t>
      </w:r>
      <w:r w:rsidR="00A44695" w:rsidRPr="00A44695">
        <w:rPr>
          <w:sz w:val="20"/>
          <w:lang w:val="fr-FR"/>
        </w:rPr>
        <w:t>ayant fui des persécutions et interceptés en mer par les autorités australiennes.</w:t>
      </w:r>
      <w:r w:rsidR="00A44695">
        <w:rPr>
          <w:sz w:val="20"/>
          <w:lang w:val="fr-FR"/>
        </w:rPr>
        <w:t xml:space="preserve"> </w:t>
      </w:r>
      <w:r w:rsidR="00A44695" w:rsidRPr="00A44695">
        <w:rPr>
          <w:sz w:val="20"/>
          <w:lang w:val="fr-FR"/>
        </w:rPr>
        <w:t>Ils ont d’abord été transférés sur l’île Christmas (territoire australien), puis détenus au centre régiona</w:t>
      </w:r>
      <w:r w:rsidR="00A44695">
        <w:rPr>
          <w:sz w:val="20"/>
          <w:lang w:val="fr-FR"/>
        </w:rPr>
        <w:t xml:space="preserve">l de traitement (RPC) de Nauru. </w:t>
      </w:r>
      <w:r w:rsidR="00A44695" w:rsidRPr="00A44695">
        <w:rPr>
          <w:sz w:val="20"/>
          <w:lang w:val="fr-FR"/>
        </w:rPr>
        <w:t>De même, dans une autre affaire, une demandeuse d’asile iranienne, arrivée elle aussi sur l’île Christmas avec sa famille, a été trans</w:t>
      </w:r>
      <w:r w:rsidR="00A44695">
        <w:rPr>
          <w:sz w:val="20"/>
          <w:lang w:val="fr-FR"/>
        </w:rPr>
        <w:t>férée à Nauru et détenue au RPC (</w:t>
      </w:r>
      <w:proofErr w:type="spellStart"/>
      <w:r w:rsidR="00981762">
        <w:fldChar w:fldCharType="begin"/>
      </w:r>
      <w:r w:rsidR="00981762">
        <w:instrText>HYPERLINK "https://tbinternet.ohchr.org/_layouts/15/treatybodyexternal/Download.aspx?symbolno=CCPR%2FC%2F142%2FD%2F3663%2F2019&amp;Lang=en" \h</w:instrText>
      </w:r>
      <w:r w:rsidR="00981762">
        <w:fldChar w:fldCharType="separate"/>
      </w:r>
      <w:r w:rsidR="00981762" w:rsidRPr="00022147">
        <w:rPr>
          <w:color w:val="05037E"/>
          <w:sz w:val="20"/>
          <w:u w:val="single" w:color="05037E"/>
          <w:lang w:val="fr-FR"/>
        </w:rPr>
        <w:t>Nabhari</w:t>
      </w:r>
      <w:proofErr w:type="spellEnd"/>
      <w:r w:rsidR="00981762">
        <w:fldChar w:fldCharType="end"/>
      </w:r>
      <w:r w:rsidR="00A44695">
        <w:rPr>
          <w:color w:val="05037E"/>
          <w:sz w:val="20"/>
          <w:u w:val="single" w:color="05037E"/>
          <w:lang w:val="fr-FR"/>
        </w:rPr>
        <w:t>).</w:t>
      </w:r>
    </w:p>
    <w:p w14:paraId="3C207268" w14:textId="5156DD4C" w:rsidR="00A44695" w:rsidRDefault="00A44695" w:rsidP="00A44695">
      <w:pPr>
        <w:pStyle w:val="BodyText"/>
        <w:spacing w:line="288" w:lineRule="auto"/>
        <w:rPr>
          <w:sz w:val="20"/>
          <w:lang w:val="fr-FR"/>
        </w:rPr>
      </w:pPr>
      <w:r w:rsidRPr="00A44695">
        <w:rPr>
          <w:sz w:val="20"/>
          <w:lang w:val="fr-FR"/>
        </w:rPr>
        <w:t>Le Comité s’est fondé sur le principe du « pouvoir ou contrôle effectif » pour établir la compétence de</w:t>
      </w:r>
      <w:r>
        <w:rPr>
          <w:sz w:val="20"/>
          <w:lang w:val="fr-FR"/>
        </w:rPr>
        <w:t xml:space="preserve"> l’Australie dans ces affaires. </w:t>
      </w:r>
      <w:r w:rsidRPr="00A44695">
        <w:rPr>
          <w:sz w:val="20"/>
          <w:lang w:val="fr-FR"/>
        </w:rPr>
        <w:t>Il a constaté que l’Australie exerçait un contrôle significatif sur le fonctionnement et la gestion du centre de traitement de Nauru : elle en avait organisé la construction, en assurait le financement, et supervisait la gestion via l’embauche d’entités privées chargées de la sécurité, du nettoyage, de la restauration, des loisirs et de l’éducation, toutes devant rendre des comptes aux autorités australiennes.</w:t>
      </w:r>
      <w:r>
        <w:rPr>
          <w:sz w:val="20"/>
          <w:lang w:val="fr-FR"/>
        </w:rPr>
        <w:t xml:space="preserve"> </w:t>
      </w:r>
      <w:r w:rsidRPr="00A44695">
        <w:rPr>
          <w:sz w:val="20"/>
          <w:lang w:val="fr-FR"/>
        </w:rPr>
        <w:t>Ainsi, les personnes détenues au RPC de Nauru relevaient de la juridiction de l’Australie, et leur détention était imputable à celle-ci.</w:t>
      </w:r>
    </w:p>
    <w:p w14:paraId="62B57EB5" w14:textId="56B83B64" w:rsidR="0099685F" w:rsidRPr="00A44695" w:rsidRDefault="00A44695" w:rsidP="00A44695">
      <w:pPr>
        <w:pStyle w:val="BodyText"/>
        <w:spacing w:line="288" w:lineRule="auto"/>
        <w:rPr>
          <w:sz w:val="20"/>
          <w:lang w:val="fr-FR"/>
        </w:rPr>
      </w:pPr>
      <w:r w:rsidRPr="00A44695">
        <w:rPr>
          <w:sz w:val="20"/>
          <w:lang w:val="fr-FR"/>
        </w:rPr>
        <w:t>Dans les deux affaires, cette détention a été jugée contraire à l’article 9(1) du Pacte international relatif aux droits civils et politiques, qui garantit le droit à la liberté, l’Australie n’ayant pas fourni de justification adéquate à la privation de liberté</w:t>
      </w:r>
      <w:r w:rsidR="00981762" w:rsidRPr="00022147">
        <w:rPr>
          <w:sz w:val="20"/>
          <w:lang w:val="fr-FR"/>
        </w:rPr>
        <w:t>.</w:t>
      </w:r>
    </w:p>
    <w:p w14:paraId="67CAC2BD" w14:textId="77777777" w:rsidR="0099685F" w:rsidRPr="00022147" w:rsidRDefault="0099685F">
      <w:pPr>
        <w:pStyle w:val="BodyText"/>
        <w:spacing w:line="288" w:lineRule="auto"/>
        <w:rPr>
          <w:lang w:val="fr-FR"/>
        </w:rPr>
        <w:sectPr w:rsidR="0099685F" w:rsidRPr="00022147">
          <w:pgSz w:w="11910" w:h="16840"/>
          <w:pgMar w:top="1320" w:right="1417" w:bottom="1960" w:left="1275" w:header="0" w:footer="1766" w:gutter="0"/>
          <w:cols w:space="708"/>
        </w:sectPr>
      </w:pPr>
    </w:p>
    <w:p w14:paraId="689DB675" w14:textId="50BCE4E9" w:rsidR="0099685F" w:rsidRPr="00644F44" w:rsidRDefault="00644F44" w:rsidP="00644F44">
      <w:pPr>
        <w:pStyle w:val="BodyText"/>
        <w:spacing w:before="79" w:line="288" w:lineRule="auto"/>
        <w:rPr>
          <w:sz w:val="20"/>
          <w:lang w:val="fr-FR"/>
        </w:rPr>
      </w:pPr>
      <w:r w:rsidRPr="00644F44">
        <w:rPr>
          <w:sz w:val="20"/>
          <w:lang w:val="fr-FR"/>
        </w:rPr>
        <w:lastRenderedPageBreak/>
        <w:t>Ces arrêts rappellent qu’un contrôle effectif engage la responsabilité des États au titre du Pacte international relatif aux droits civils et politiques, et que l’externalisation des op</w:t>
      </w:r>
      <w:r>
        <w:rPr>
          <w:sz w:val="20"/>
          <w:lang w:val="fr-FR"/>
        </w:rPr>
        <w:t>érations ne les en exonère pas. Ces décisions</w:t>
      </w:r>
      <w:r w:rsidRPr="00644F44">
        <w:rPr>
          <w:sz w:val="20"/>
          <w:lang w:val="fr-FR"/>
        </w:rPr>
        <w:t xml:space="preserve"> s’appliquent également à d’autres pratiques extraterritoriales, notamment la détention à l’étranger, comme celle envisagée récemment dans le cadre de </w:t>
      </w:r>
      <w:r w:rsidR="00981762" w:rsidRPr="00022147">
        <w:rPr>
          <w:sz w:val="20"/>
          <w:lang w:val="fr-FR"/>
        </w:rPr>
        <w:t>l'</w:t>
      </w:r>
      <w:hyperlink r:id="rId75">
        <w:r w:rsidR="00981762" w:rsidRPr="00022147">
          <w:rPr>
            <w:color w:val="05037E"/>
            <w:sz w:val="20"/>
            <w:u w:val="single" w:color="05037E"/>
            <w:lang w:val="fr-FR"/>
          </w:rPr>
          <w:t>accord entre l'Italie et l'Albanie</w:t>
        </w:r>
      </w:hyperlink>
      <w:r w:rsidR="00981762" w:rsidRPr="00022147">
        <w:rPr>
          <w:sz w:val="20"/>
          <w:lang w:val="fr-FR"/>
        </w:rPr>
        <w:t>.</w:t>
      </w:r>
    </w:p>
    <w:p w14:paraId="056D92A1" w14:textId="77777777" w:rsidR="0099685F" w:rsidRPr="00022147" w:rsidRDefault="00981762">
      <w:pPr>
        <w:spacing w:before="120"/>
        <w:ind w:left="142"/>
        <w:rPr>
          <w:i/>
          <w:lang w:val="fr-FR"/>
        </w:rPr>
      </w:pPr>
      <w:proofErr w:type="spellStart"/>
      <w:r w:rsidRPr="00022147">
        <w:rPr>
          <w:i/>
          <w:sz w:val="20"/>
          <w:lang w:val="fr-FR"/>
        </w:rPr>
        <w:t>Izabella</w:t>
      </w:r>
      <w:proofErr w:type="spellEnd"/>
      <w:r w:rsidRPr="00022147">
        <w:rPr>
          <w:i/>
          <w:sz w:val="20"/>
          <w:lang w:val="fr-FR"/>
        </w:rPr>
        <w:t xml:space="preserve"> </w:t>
      </w:r>
      <w:proofErr w:type="spellStart"/>
      <w:r w:rsidRPr="00022147">
        <w:rPr>
          <w:i/>
          <w:spacing w:val="-2"/>
          <w:sz w:val="20"/>
          <w:lang w:val="fr-FR"/>
        </w:rPr>
        <w:t>Majcher</w:t>
      </w:r>
      <w:proofErr w:type="spellEnd"/>
    </w:p>
    <w:p w14:paraId="579EE215" w14:textId="77777777" w:rsidR="0099685F" w:rsidRPr="00022147" w:rsidRDefault="0099685F">
      <w:pPr>
        <w:pStyle w:val="BodyText"/>
        <w:spacing w:before="157"/>
        <w:ind w:left="0"/>
        <w:rPr>
          <w:i/>
          <w:lang w:val="fr-FR"/>
        </w:rPr>
      </w:pPr>
    </w:p>
    <w:p w14:paraId="0554374B" w14:textId="33CBAC66" w:rsidR="0099685F" w:rsidRPr="00022147" w:rsidRDefault="00981762">
      <w:pPr>
        <w:spacing w:line="288" w:lineRule="auto"/>
        <w:ind w:left="142"/>
        <w:rPr>
          <w:b/>
          <w:sz w:val="26"/>
          <w:lang w:val="fr-FR"/>
        </w:rPr>
      </w:pPr>
      <w:bookmarkStart w:id="17" w:name="European_Court_of_Human_Rights_sets_high"/>
      <w:bookmarkEnd w:id="17"/>
      <w:r w:rsidRPr="00022147">
        <w:rPr>
          <w:b/>
          <w:sz w:val="24"/>
          <w:lang w:val="fr-FR"/>
        </w:rPr>
        <w:t xml:space="preserve">La Cour </w:t>
      </w:r>
      <w:r w:rsidR="00C13B8E">
        <w:rPr>
          <w:b/>
          <w:sz w:val="24"/>
          <w:lang w:val="fr-FR"/>
        </w:rPr>
        <w:t>européenne des droits humains</w:t>
      </w:r>
      <w:r w:rsidRPr="00022147">
        <w:rPr>
          <w:b/>
          <w:sz w:val="24"/>
          <w:lang w:val="fr-FR"/>
        </w:rPr>
        <w:t xml:space="preserve"> place la barre très haut en matière de preuves dans les affaires de refoulement présumé contre la Grèce</w:t>
      </w:r>
    </w:p>
    <w:p w14:paraId="0AD9EECC" w14:textId="4482A048" w:rsidR="0099685F" w:rsidRPr="00022147" w:rsidRDefault="00981762">
      <w:pPr>
        <w:spacing w:before="120"/>
        <w:ind w:left="142"/>
        <w:rPr>
          <w:i/>
          <w:lang w:val="fr-FR"/>
        </w:rPr>
      </w:pPr>
      <w:r w:rsidRPr="00022147">
        <w:rPr>
          <w:i/>
          <w:sz w:val="20"/>
          <w:lang w:val="fr-FR"/>
        </w:rPr>
        <w:t>Mots-clés : Cour eu</w:t>
      </w:r>
      <w:r w:rsidR="00C13B8E">
        <w:rPr>
          <w:i/>
          <w:sz w:val="20"/>
          <w:lang w:val="fr-FR"/>
        </w:rPr>
        <w:t>ropéenne des droits humains</w:t>
      </w:r>
      <w:r w:rsidRPr="00022147">
        <w:rPr>
          <w:i/>
          <w:sz w:val="20"/>
          <w:lang w:val="fr-FR"/>
        </w:rPr>
        <w:t xml:space="preserve">, preuves, utilisation de la technologie, risque de mauvais </w:t>
      </w:r>
      <w:r w:rsidRPr="00022147">
        <w:rPr>
          <w:i/>
          <w:spacing w:val="-2"/>
          <w:sz w:val="20"/>
          <w:lang w:val="fr-FR"/>
        </w:rPr>
        <w:t>traitement</w:t>
      </w:r>
    </w:p>
    <w:p w14:paraId="65AAC493" w14:textId="05811D2F" w:rsidR="0099685F" w:rsidRPr="00022147" w:rsidRDefault="00981762">
      <w:pPr>
        <w:pStyle w:val="BodyText"/>
        <w:spacing w:before="171" w:line="288" w:lineRule="auto"/>
        <w:ind w:right="254"/>
        <w:jc w:val="both"/>
        <w:rPr>
          <w:lang w:val="fr-FR"/>
        </w:rPr>
      </w:pPr>
      <w:r w:rsidRPr="00022147">
        <w:rPr>
          <w:sz w:val="20"/>
          <w:lang w:val="fr-FR"/>
        </w:rPr>
        <w:t>Le 7 janvier 2025, la Cour européenne des d</w:t>
      </w:r>
      <w:r w:rsidR="00C13B8E">
        <w:rPr>
          <w:sz w:val="20"/>
          <w:lang w:val="fr-FR"/>
        </w:rPr>
        <w:t>roits humains</w:t>
      </w:r>
      <w:r w:rsidR="00644F44">
        <w:rPr>
          <w:sz w:val="20"/>
          <w:lang w:val="fr-FR"/>
        </w:rPr>
        <w:t xml:space="preserve"> (CEDH) a rendu sur deux </w:t>
      </w:r>
      <w:r w:rsidR="00080D92">
        <w:rPr>
          <w:sz w:val="20"/>
          <w:lang w:val="fr-FR"/>
        </w:rPr>
        <w:t>affaires</w:t>
      </w:r>
      <w:r w:rsidR="00644F44" w:rsidRPr="00644F44">
        <w:rPr>
          <w:sz w:val="20"/>
          <w:lang w:val="fr-FR"/>
        </w:rPr>
        <w:t xml:space="preserve"> majeurs </w:t>
      </w:r>
      <w:r w:rsidRPr="00022147">
        <w:rPr>
          <w:sz w:val="20"/>
          <w:lang w:val="fr-FR"/>
        </w:rPr>
        <w:t xml:space="preserve"> - </w:t>
      </w:r>
      <w:hyperlink r:id="rId76" w:anchor="%7B%22itemid%22%3A%5B%22001-238636%22%5D%7D">
        <w:r w:rsidRPr="00022147">
          <w:rPr>
            <w:color w:val="05037E"/>
            <w:sz w:val="20"/>
            <w:u w:val="single" w:color="05037E"/>
            <w:lang w:val="fr-FR"/>
          </w:rPr>
          <w:t xml:space="preserve">A.R.E. c. Grèce </w:t>
        </w:r>
      </w:hyperlink>
      <w:r w:rsidRPr="00022147">
        <w:rPr>
          <w:sz w:val="20"/>
          <w:lang w:val="fr-FR"/>
        </w:rPr>
        <w:t xml:space="preserve">et </w:t>
      </w:r>
      <w:hyperlink r:id="rId77" w:anchor="%7B%22itemid%22%3A%5B%22001-240283%22%5D%7D">
        <w:r w:rsidRPr="00022147">
          <w:rPr>
            <w:color w:val="05037E"/>
            <w:sz w:val="20"/>
            <w:u w:val="single" w:color="05037E"/>
            <w:lang w:val="fr-FR"/>
          </w:rPr>
          <w:t xml:space="preserve">G.R.J. c. Grèce </w:t>
        </w:r>
      </w:hyperlink>
      <w:r w:rsidRPr="00022147">
        <w:rPr>
          <w:sz w:val="20"/>
          <w:lang w:val="fr-FR"/>
        </w:rPr>
        <w:t xml:space="preserve">- confirmant que la Grèce a systématiquement </w:t>
      </w:r>
      <w:r w:rsidR="00080D92">
        <w:rPr>
          <w:sz w:val="20"/>
          <w:lang w:val="fr-FR"/>
        </w:rPr>
        <w:t>procédé au refoulement de</w:t>
      </w:r>
      <w:r w:rsidRPr="00022147">
        <w:rPr>
          <w:sz w:val="20"/>
          <w:lang w:val="fr-FR"/>
        </w:rPr>
        <w:t xml:space="preserve"> ressortissants de pays tiers vers la Turquie.</w:t>
      </w:r>
    </w:p>
    <w:p w14:paraId="63442BA5" w14:textId="4F718517" w:rsidR="0099685F" w:rsidRPr="00080D92" w:rsidRDefault="00080D92" w:rsidP="00080D92">
      <w:pPr>
        <w:pStyle w:val="BodyText"/>
        <w:spacing w:line="288" w:lineRule="auto"/>
        <w:ind w:right="154"/>
        <w:rPr>
          <w:sz w:val="20"/>
          <w:lang w:val="fr-FR"/>
        </w:rPr>
      </w:pPr>
      <w:r w:rsidRPr="00080D92">
        <w:rPr>
          <w:sz w:val="20"/>
          <w:lang w:val="fr-FR"/>
        </w:rPr>
        <w:t xml:space="preserve">Dans l’affaire A.R.E. c. Grèce, la Cour </w:t>
      </w:r>
      <w:r w:rsidR="00C13B8E">
        <w:rPr>
          <w:sz w:val="20"/>
          <w:lang w:val="fr-FR"/>
        </w:rPr>
        <w:t>européenne des droits humains</w:t>
      </w:r>
      <w:r w:rsidRPr="00080D92">
        <w:rPr>
          <w:sz w:val="20"/>
          <w:lang w:val="fr-FR"/>
        </w:rPr>
        <w:t xml:space="preserve"> a jugé que la Grèce avait expulsé un ressortissant turc sans évaluer le risque de mauvais traitements auquel il aurait pu être </w:t>
      </w:r>
      <w:r>
        <w:rPr>
          <w:sz w:val="20"/>
          <w:lang w:val="fr-FR"/>
        </w:rPr>
        <w:t xml:space="preserve">exposé à son retour en Turquie. </w:t>
      </w:r>
      <w:r w:rsidRPr="00080D92">
        <w:rPr>
          <w:sz w:val="20"/>
          <w:lang w:val="fr-FR"/>
        </w:rPr>
        <w:t>La Cour a également estimé que le requérant avait été illégalement détenu avant son refoulement, dans des conditions assimilables à une</w:t>
      </w:r>
      <w:r w:rsidR="00981762" w:rsidRPr="00022147">
        <w:rPr>
          <w:sz w:val="20"/>
          <w:lang w:val="fr-FR"/>
        </w:rPr>
        <w:t xml:space="preserve"> </w:t>
      </w:r>
      <w:hyperlink r:id="rId78">
        <w:r w:rsidR="00981762" w:rsidRPr="00022147">
          <w:rPr>
            <w:color w:val="05037E"/>
            <w:sz w:val="20"/>
            <w:u w:val="single" w:color="05037E"/>
            <w:lang w:val="fr-FR"/>
          </w:rPr>
          <w:t>disparition forcée temporaire</w:t>
        </w:r>
      </w:hyperlink>
      <w:r w:rsidR="00981762" w:rsidRPr="00022147">
        <w:rPr>
          <w:sz w:val="20"/>
          <w:lang w:val="fr-FR"/>
        </w:rPr>
        <w:t xml:space="preserve">. </w:t>
      </w:r>
      <w:r w:rsidRPr="00080D92">
        <w:rPr>
          <w:sz w:val="20"/>
          <w:lang w:val="fr-FR"/>
        </w:rPr>
        <w:t>En outre, le système d’asile grec a été jugé inefficace pour garantir des recours effectifs face à ces violations.</w:t>
      </w:r>
    </w:p>
    <w:p w14:paraId="1D5B0D33" w14:textId="0338A3A0" w:rsidR="00080D92" w:rsidRDefault="00080D92" w:rsidP="006D36B5">
      <w:pPr>
        <w:pStyle w:val="BodyText"/>
        <w:spacing w:line="288" w:lineRule="auto"/>
        <w:rPr>
          <w:sz w:val="20"/>
          <w:lang w:val="fr-FR"/>
        </w:rPr>
      </w:pPr>
      <w:r w:rsidRPr="00080D92">
        <w:rPr>
          <w:sz w:val="20"/>
          <w:lang w:val="fr-FR"/>
        </w:rPr>
        <w:t>Par conséquent, la Cour a conclu à la violation de plusieurs dispositions de la Convention européenne des</w:t>
      </w:r>
      <w:r w:rsidR="00501ED2">
        <w:rPr>
          <w:sz w:val="20"/>
          <w:lang w:val="fr-FR"/>
        </w:rPr>
        <w:t xml:space="preserve"> droits humains</w:t>
      </w:r>
      <w:r w:rsidR="006D36B5">
        <w:rPr>
          <w:sz w:val="20"/>
          <w:lang w:val="fr-FR"/>
        </w:rPr>
        <w:t>, notamment :</w:t>
      </w:r>
      <w:r w:rsidRPr="00080D92">
        <w:rPr>
          <w:sz w:val="20"/>
          <w:lang w:val="fr-FR"/>
        </w:rPr>
        <w:t xml:space="preserve"> l’interdiction des trait</w:t>
      </w:r>
      <w:r w:rsidR="006D36B5">
        <w:rPr>
          <w:sz w:val="20"/>
          <w:lang w:val="fr-FR"/>
        </w:rPr>
        <w:t xml:space="preserve">ements inhumains ou dégradants, </w:t>
      </w:r>
      <w:r w:rsidRPr="00080D92">
        <w:rPr>
          <w:sz w:val="20"/>
          <w:lang w:val="fr-FR"/>
        </w:rPr>
        <w:t>le droit</w:t>
      </w:r>
      <w:r w:rsidR="006D36B5">
        <w:rPr>
          <w:sz w:val="20"/>
          <w:lang w:val="fr-FR"/>
        </w:rPr>
        <w:t xml:space="preserve"> à la liberté et à la sécurité,</w:t>
      </w:r>
      <w:r w:rsidRPr="00080D92">
        <w:rPr>
          <w:sz w:val="20"/>
          <w:lang w:val="fr-FR"/>
        </w:rPr>
        <w:t xml:space="preserve"> et le droit à un recours effectif.</w:t>
      </w:r>
    </w:p>
    <w:p w14:paraId="5E49BF02" w14:textId="7FF344A9" w:rsidR="006D36B5" w:rsidRDefault="006D36B5" w:rsidP="006D36B5">
      <w:pPr>
        <w:pStyle w:val="BodyText"/>
        <w:spacing w:before="119" w:line="288" w:lineRule="auto"/>
        <w:ind w:right="33"/>
        <w:rPr>
          <w:sz w:val="20"/>
          <w:lang w:val="fr-FR"/>
        </w:rPr>
      </w:pPr>
      <w:r w:rsidRPr="006D36B5">
        <w:rPr>
          <w:sz w:val="20"/>
          <w:lang w:val="fr-FR"/>
        </w:rPr>
        <w:t>Dans l’affaire G.R.J. c. Grèce, la Cour européenne des droits de l’homme a examiné le cas d’un mineur afghan non accompagné de 15 ans, fuyant</w:t>
      </w:r>
      <w:r>
        <w:rPr>
          <w:sz w:val="20"/>
          <w:lang w:val="fr-FR"/>
        </w:rPr>
        <w:t xml:space="preserve"> les persécutions des Talibans. </w:t>
      </w:r>
      <w:r w:rsidRPr="006D36B5">
        <w:rPr>
          <w:sz w:val="20"/>
          <w:lang w:val="fr-FR"/>
        </w:rPr>
        <w:t>Le requérant affirmait avoir été enlevé de force du camp de réfugiés de Vathy (Samos) par les garde-côtes grecs, puis placé sur un radeau pneumatique, en dépit de sa volonté décla</w:t>
      </w:r>
      <w:r>
        <w:rPr>
          <w:sz w:val="20"/>
          <w:lang w:val="fr-FR"/>
        </w:rPr>
        <w:t xml:space="preserve">rée de demander l’asile internationale. </w:t>
      </w:r>
      <w:r w:rsidRPr="006D36B5">
        <w:rPr>
          <w:sz w:val="20"/>
          <w:lang w:val="fr-FR"/>
        </w:rPr>
        <w:t>Bien que la Cour ait reconnu les difficultés liées à la preuve d’activités clandestines impliquant l’État, elle a finalement déclaré l’a</w:t>
      </w:r>
      <w:r>
        <w:rPr>
          <w:sz w:val="20"/>
          <w:lang w:val="fr-FR"/>
        </w:rPr>
        <w:t xml:space="preserve">ffaire irrecevable, en raison : </w:t>
      </w:r>
      <w:r w:rsidRPr="006D36B5">
        <w:rPr>
          <w:sz w:val="20"/>
          <w:lang w:val="fr-FR"/>
        </w:rPr>
        <w:t>d’incohérences dans</w:t>
      </w:r>
      <w:r>
        <w:rPr>
          <w:sz w:val="20"/>
          <w:lang w:val="fr-FR"/>
        </w:rPr>
        <w:t xml:space="preserve"> les déclarations du requérant, </w:t>
      </w:r>
      <w:r w:rsidRPr="006D36B5">
        <w:rPr>
          <w:sz w:val="20"/>
          <w:lang w:val="fr-FR"/>
        </w:rPr>
        <w:t>de preuves insuffisantes quant à sa présence en G</w:t>
      </w:r>
      <w:r>
        <w:rPr>
          <w:sz w:val="20"/>
          <w:lang w:val="fr-FR"/>
        </w:rPr>
        <w:t xml:space="preserve">rèce et au refoulement allégué. </w:t>
      </w:r>
      <w:r w:rsidRPr="006D36B5">
        <w:rPr>
          <w:sz w:val="20"/>
          <w:lang w:val="fr-FR"/>
        </w:rPr>
        <w:t>Les éléments audiovisuels présentés (photos, vidéos) n’atteignaient pas le seui</w:t>
      </w:r>
      <w:r>
        <w:rPr>
          <w:sz w:val="20"/>
          <w:lang w:val="fr-FR"/>
        </w:rPr>
        <w:t>l de preuve requis par la Cour.</w:t>
      </w:r>
    </w:p>
    <w:p w14:paraId="3C55DFF0" w14:textId="65B106A7" w:rsidR="006D36B5" w:rsidRDefault="006D36B5" w:rsidP="006D36B5">
      <w:pPr>
        <w:pStyle w:val="BodyText"/>
        <w:spacing w:before="121" w:line="288" w:lineRule="auto"/>
        <w:ind w:right="168"/>
        <w:rPr>
          <w:sz w:val="20"/>
          <w:lang w:val="fr-FR"/>
        </w:rPr>
      </w:pPr>
      <w:r w:rsidRPr="006D36B5">
        <w:rPr>
          <w:sz w:val="20"/>
          <w:lang w:val="fr-FR"/>
        </w:rPr>
        <w:t xml:space="preserve">Ces affaires mettent en évidence une exigence accrue de la part de la Cour européenne des </w:t>
      </w:r>
      <w:r w:rsidR="00501ED2">
        <w:rPr>
          <w:sz w:val="20"/>
          <w:lang w:val="fr-FR"/>
        </w:rPr>
        <w:t>droits humains</w:t>
      </w:r>
      <w:r w:rsidRPr="006D36B5">
        <w:rPr>
          <w:sz w:val="20"/>
          <w:lang w:val="fr-FR"/>
        </w:rPr>
        <w:t xml:space="preserve"> : les victimes de refoulement doivent démontrer leur présence effective sur le</w:t>
      </w:r>
      <w:r>
        <w:rPr>
          <w:sz w:val="20"/>
          <w:lang w:val="fr-FR"/>
        </w:rPr>
        <w:t xml:space="preserve"> territoire de l’État concerné. </w:t>
      </w:r>
      <w:r w:rsidRPr="006D36B5">
        <w:rPr>
          <w:sz w:val="20"/>
          <w:lang w:val="fr-FR"/>
        </w:rPr>
        <w:t>Dans l’affaire A.R.E. c. Grèce, des preuves technologiques, comme les données de localisation transmises par téléphone portable, ont permi</w:t>
      </w:r>
      <w:r>
        <w:rPr>
          <w:sz w:val="20"/>
          <w:lang w:val="fr-FR"/>
        </w:rPr>
        <w:t xml:space="preserve">s de satisfaire cette exigence. </w:t>
      </w:r>
      <w:r w:rsidRPr="006D36B5">
        <w:rPr>
          <w:sz w:val="20"/>
          <w:lang w:val="fr-FR"/>
        </w:rPr>
        <w:t>En revanche, dans l’affaire G.R.J. c. Grèce, l’absence de témoignages cohérents a compromis la crédibilité des preuves audiovisuelles, affaiblissant ains</w:t>
      </w:r>
      <w:r>
        <w:rPr>
          <w:sz w:val="20"/>
          <w:lang w:val="fr-FR"/>
        </w:rPr>
        <w:t xml:space="preserve">i les allégations du requérant. </w:t>
      </w:r>
      <w:r w:rsidRPr="006D36B5">
        <w:rPr>
          <w:sz w:val="20"/>
          <w:lang w:val="fr-FR"/>
        </w:rPr>
        <w:t>Il reste à voir si la position de la Cour évoluera dans les affaires futures de ce type, où l'accès à des preuves cruciales est souvent limité par la nature même des pratiques dénoncées.</w:t>
      </w:r>
    </w:p>
    <w:p w14:paraId="641123A5" w14:textId="77777777" w:rsidR="0099685F" w:rsidRPr="00022147" w:rsidRDefault="00981762">
      <w:pPr>
        <w:spacing w:before="121"/>
        <w:ind w:left="142"/>
        <w:rPr>
          <w:i/>
          <w:lang w:val="fr-FR"/>
        </w:rPr>
      </w:pPr>
      <w:proofErr w:type="spellStart"/>
      <w:r w:rsidRPr="00022147">
        <w:rPr>
          <w:i/>
          <w:sz w:val="20"/>
          <w:lang w:val="fr-FR"/>
        </w:rPr>
        <w:t>Ayşe</w:t>
      </w:r>
      <w:proofErr w:type="spellEnd"/>
      <w:r w:rsidRPr="00022147">
        <w:rPr>
          <w:i/>
          <w:sz w:val="20"/>
          <w:lang w:val="fr-FR"/>
        </w:rPr>
        <w:t xml:space="preserve"> </w:t>
      </w:r>
      <w:proofErr w:type="spellStart"/>
      <w:r w:rsidRPr="00022147">
        <w:rPr>
          <w:i/>
          <w:sz w:val="20"/>
          <w:lang w:val="fr-FR"/>
        </w:rPr>
        <w:t>Dicle</w:t>
      </w:r>
      <w:proofErr w:type="spellEnd"/>
      <w:r w:rsidRPr="00022147">
        <w:rPr>
          <w:i/>
          <w:sz w:val="20"/>
          <w:lang w:val="fr-FR"/>
        </w:rPr>
        <w:t xml:space="preserve"> </w:t>
      </w:r>
      <w:proofErr w:type="spellStart"/>
      <w:r w:rsidRPr="00022147">
        <w:rPr>
          <w:i/>
          <w:spacing w:val="-2"/>
          <w:sz w:val="20"/>
          <w:lang w:val="fr-FR"/>
        </w:rPr>
        <w:t>Ergin</w:t>
      </w:r>
      <w:proofErr w:type="spellEnd"/>
    </w:p>
    <w:p w14:paraId="00914C6F" w14:textId="77777777" w:rsidR="0099685F" w:rsidRPr="00022147" w:rsidRDefault="0099685F">
      <w:pPr>
        <w:rPr>
          <w:i/>
          <w:lang w:val="fr-FR"/>
        </w:rPr>
        <w:sectPr w:rsidR="0099685F" w:rsidRPr="00022147">
          <w:pgSz w:w="11910" w:h="16840"/>
          <w:pgMar w:top="1320" w:right="1417" w:bottom="1960" w:left="1275" w:header="0" w:footer="1766" w:gutter="0"/>
          <w:cols w:space="708"/>
        </w:sectPr>
      </w:pPr>
    </w:p>
    <w:p w14:paraId="612DE97B" w14:textId="77777777" w:rsidR="0099685F" w:rsidRPr="00022147" w:rsidRDefault="00981762">
      <w:pPr>
        <w:spacing w:before="78" w:line="288" w:lineRule="auto"/>
        <w:ind w:left="142"/>
        <w:rPr>
          <w:b/>
          <w:i/>
          <w:sz w:val="26"/>
          <w:lang w:val="fr-FR"/>
        </w:rPr>
      </w:pPr>
      <w:bookmarkStart w:id="18" w:name="Challenging_border_externalisation:_evid"/>
      <w:bookmarkEnd w:id="18"/>
      <w:r w:rsidRPr="00022147">
        <w:rPr>
          <w:b/>
          <w:sz w:val="24"/>
          <w:lang w:val="fr-FR"/>
        </w:rPr>
        <w:lastRenderedPageBreak/>
        <w:t xml:space="preserve">Contestation de l'externalisation des : frontières partialité de la preuve et violations de la procédure dans l'affaire </w:t>
      </w:r>
      <w:r w:rsidRPr="00022147">
        <w:rPr>
          <w:b/>
          <w:i/>
          <w:sz w:val="24"/>
          <w:lang w:val="fr-FR"/>
        </w:rPr>
        <w:t xml:space="preserve">M.A. </w:t>
      </w:r>
      <w:r w:rsidRPr="00022147">
        <w:rPr>
          <w:b/>
          <w:sz w:val="24"/>
          <w:lang w:val="fr-FR"/>
        </w:rPr>
        <w:t xml:space="preserve">et </w:t>
      </w:r>
      <w:r w:rsidRPr="00022147">
        <w:rPr>
          <w:b/>
          <w:i/>
          <w:sz w:val="24"/>
          <w:lang w:val="fr-FR"/>
        </w:rPr>
        <w:t>Z.R. c. Chypre</w:t>
      </w:r>
    </w:p>
    <w:p w14:paraId="39630580" w14:textId="77777777" w:rsidR="0099685F" w:rsidRPr="00022147" w:rsidRDefault="00981762">
      <w:pPr>
        <w:spacing w:before="121" w:line="288" w:lineRule="auto"/>
        <w:ind w:left="142"/>
        <w:rPr>
          <w:i/>
          <w:lang w:val="fr-FR"/>
        </w:rPr>
      </w:pPr>
      <w:r w:rsidRPr="00022147">
        <w:rPr>
          <w:i/>
          <w:sz w:val="20"/>
          <w:lang w:val="fr-FR"/>
        </w:rPr>
        <w:t xml:space="preserve">Mots-clés : </w:t>
      </w:r>
      <w:proofErr w:type="spellStart"/>
      <w:r w:rsidRPr="00022147">
        <w:rPr>
          <w:i/>
          <w:sz w:val="20"/>
          <w:lang w:val="fr-FR"/>
        </w:rPr>
        <w:t>Pushbacks</w:t>
      </w:r>
      <w:proofErr w:type="spellEnd"/>
      <w:r w:rsidRPr="00022147">
        <w:rPr>
          <w:i/>
          <w:sz w:val="20"/>
          <w:lang w:val="fr-FR"/>
        </w:rPr>
        <w:t>, responsabilité de , l'</w:t>
      </w:r>
      <w:proofErr w:type="spellStart"/>
      <w:r w:rsidRPr="00022147">
        <w:rPr>
          <w:i/>
          <w:sz w:val="20"/>
          <w:lang w:val="fr-FR"/>
        </w:rPr>
        <w:t>Étatdéfis</w:t>
      </w:r>
      <w:proofErr w:type="spellEnd"/>
      <w:r w:rsidRPr="00022147">
        <w:rPr>
          <w:i/>
          <w:sz w:val="20"/>
          <w:lang w:val="fr-FR"/>
        </w:rPr>
        <w:t xml:space="preserve"> en matière de , </w:t>
      </w:r>
      <w:proofErr w:type="spellStart"/>
      <w:r w:rsidRPr="00022147">
        <w:rPr>
          <w:i/>
          <w:sz w:val="20"/>
          <w:lang w:val="fr-FR"/>
        </w:rPr>
        <w:t>preuvesviolations</w:t>
      </w:r>
      <w:proofErr w:type="spellEnd"/>
      <w:r w:rsidRPr="00022147">
        <w:rPr>
          <w:i/>
          <w:sz w:val="20"/>
          <w:lang w:val="fr-FR"/>
        </w:rPr>
        <w:t xml:space="preserve"> des , Liban, </w:t>
      </w:r>
      <w:proofErr w:type="spellStart"/>
      <w:r w:rsidRPr="00022147">
        <w:rPr>
          <w:i/>
          <w:sz w:val="20"/>
          <w:lang w:val="fr-FR"/>
        </w:rPr>
        <w:t>externalisationprocédures</w:t>
      </w:r>
      <w:proofErr w:type="spellEnd"/>
    </w:p>
    <w:p w14:paraId="26D6E16F" w14:textId="356945B5" w:rsidR="0099685F" w:rsidRPr="00022147" w:rsidRDefault="00A14EA9">
      <w:pPr>
        <w:pStyle w:val="BodyText"/>
        <w:rPr>
          <w:lang w:val="fr-FR"/>
        </w:rPr>
      </w:pPr>
      <w:r w:rsidRPr="00A14EA9">
        <w:rPr>
          <w:sz w:val="20"/>
          <w:lang w:val="fr-FR"/>
        </w:rPr>
        <w:t xml:space="preserve">Le 8 janvier 2025, la Cour européenne des droits de l’homme (CEDH) a rendu son arrêt dans l’affaire </w:t>
      </w:r>
    </w:p>
    <w:p w14:paraId="6A38144A" w14:textId="568D5AC1" w:rsidR="00A14EA9" w:rsidRPr="00A63DD4" w:rsidRDefault="00981762" w:rsidP="00A63DD4">
      <w:pPr>
        <w:pStyle w:val="BodyText"/>
        <w:spacing w:before="50" w:line="288" w:lineRule="auto"/>
        <w:ind w:right="46"/>
        <w:rPr>
          <w:lang w:val="fr-FR"/>
        </w:rPr>
      </w:pPr>
      <w:r w:rsidRPr="00022147">
        <w:rPr>
          <w:color w:val="05037E"/>
          <w:sz w:val="20"/>
          <w:u w:val="single" w:color="05037E"/>
          <w:lang w:val="fr-FR"/>
        </w:rPr>
        <w:t>M.A. et Z.R. c. Chypre</w:t>
      </w:r>
      <w:r w:rsidR="00A14EA9">
        <w:rPr>
          <w:sz w:val="20"/>
          <w:lang w:val="fr-FR"/>
        </w:rPr>
        <w:t xml:space="preserve">. </w:t>
      </w:r>
      <w:r w:rsidR="00A14EA9" w:rsidRPr="00A14EA9">
        <w:rPr>
          <w:sz w:val="20"/>
          <w:lang w:val="fr-FR"/>
        </w:rPr>
        <w:t>Cette affaire illustre la tension croissante entre les procédures d’asile formelles et les pratiques informelles d’externalisation, par lesquelles les États délèguent le contrôle des frontières à des pays tiers, souvent en contournant leurs obligations juridiques internationales. La Cour a condamné Chypre pour avoir expulsé illégalement deux ressortissants syriens vers le Liban, sans examiner leurs demandes d’asile, en violation de la Convention européenne des droits de l’homme. Ce cas met en lumière le recours accru à des mesures extraterritoriales, comme les refoulements, utilisés par certains États pour éviter toute reddition de comptes et éluder leurs responsabilités en matière de droits des réfugiés et des droits humains.</w:t>
      </w:r>
    </w:p>
    <w:p w14:paraId="53981960" w14:textId="4460B25C" w:rsidR="0099685F" w:rsidRPr="00022147" w:rsidRDefault="00A14EA9">
      <w:pPr>
        <w:pStyle w:val="BodyText"/>
        <w:spacing w:line="288" w:lineRule="auto"/>
        <w:ind w:right="34"/>
        <w:rPr>
          <w:lang w:val="fr-FR"/>
        </w:rPr>
      </w:pPr>
      <w:r w:rsidRPr="00A14EA9">
        <w:rPr>
          <w:sz w:val="20"/>
          <w:lang w:val="fr-FR"/>
        </w:rPr>
        <w:t>Dans son raisonnement, la Cour européenne des droits de l’homme s’est appuyée sur des arrêts pr</w:t>
      </w:r>
      <w:r>
        <w:rPr>
          <w:sz w:val="20"/>
          <w:lang w:val="fr-FR"/>
        </w:rPr>
        <w:t xml:space="preserve">écédents de référence, </w:t>
      </w:r>
      <w:r w:rsidR="00981762" w:rsidRPr="00022147">
        <w:rPr>
          <w:sz w:val="20"/>
          <w:lang w:val="fr-FR"/>
        </w:rPr>
        <w:t xml:space="preserve">notamment </w:t>
      </w:r>
      <w:r w:rsidR="00981762" w:rsidRPr="00022147">
        <w:rPr>
          <w:color w:val="05037E"/>
          <w:sz w:val="20"/>
          <w:u w:val="single" w:color="05037E"/>
          <w:lang w:val="fr-FR"/>
        </w:rPr>
        <w:t xml:space="preserve">Ilias et Ahmed c. Hongrie </w:t>
      </w:r>
      <w:r w:rsidR="00981762" w:rsidRPr="00022147">
        <w:rPr>
          <w:sz w:val="20"/>
          <w:lang w:val="fr-FR"/>
        </w:rPr>
        <w:t xml:space="preserve">et </w:t>
      </w:r>
      <w:proofErr w:type="spellStart"/>
      <w:r w:rsidR="00981762" w:rsidRPr="00022147">
        <w:rPr>
          <w:color w:val="05037E"/>
          <w:sz w:val="20"/>
          <w:u w:val="single" w:color="05037E"/>
          <w:lang w:val="fr-FR"/>
        </w:rPr>
        <w:t>Hirsi</w:t>
      </w:r>
      <w:proofErr w:type="spellEnd"/>
      <w:r w:rsidR="00981762" w:rsidRPr="00022147">
        <w:rPr>
          <w:color w:val="05037E"/>
          <w:sz w:val="20"/>
          <w:u w:val="single" w:color="05037E"/>
          <w:lang w:val="fr-FR"/>
        </w:rPr>
        <w:t xml:space="preserve"> </w:t>
      </w:r>
      <w:proofErr w:type="spellStart"/>
      <w:r w:rsidR="00981762" w:rsidRPr="00022147">
        <w:rPr>
          <w:color w:val="05037E"/>
          <w:sz w:val="20"/>
          <w:u w:val="single" w:color="05037E"/>
          <w:lang w:val="fr-FR"/>
        </w:rPr>
        <w:t>Jamaa</w:t>
      </w:r>
      <w:proofErr w:type="spellEnd"/>
      <w:r w:rsidR="00981762" w:rsidRPr="00022147">
        <w:rPr>
          <w:color w:val="05037E"/>
          <w:sz w:val="20"/>
          <w:u w:val="single" w:color="05037E"/>
          <w:lang w:val="fr-FR"/>
        </w:rPr>
        <w:t xml:space="preserve"> et autres c. Italie</w:t>
      </w:r>
      <w:r w:rsidR="00A63DD4">
        <w:rPr>
          <w:sz w:val="20"/>
          <w:lang w:val="fr-FR"/>
        </w:rPr>
        <w:t>,</w:t>
      </w:r>
      <w:r w:rsidR="00A63DD4" w:rsidRPr="00A63DD4">
        <w:rPr>
          <w:sz w:val="20"/>
          <w:lang w:val="fr-FR"/>
        </w:rPr>
        <w:t xml:space="preserve"> pour réaffirmer qu’un État ne peut échapper à ses responsabilités en matière de protection des personnes en s’appuyant sur des accords bilatéraux, dès lors que cela risque de compromettre la protection contre des préjudices potentiels. La Cour a souligné que Chypre n’avait pas procédé à une évaluation indépendante des risques auxquels les requérants syriens auraient pu être exposés en cas de retour au Liban, malgré les lacunes bien connues du système d’asile libanais. Ces manquements constituent, selon la Cour, une violation des obligations procédurales de Chypre au titre : de l’article 3 de la Convention (interdiction des traitements inhumains ou dégradants), et de l’article 4 du Protocole n° 4 (interdiction des expulsions collectives).</w:t>
      </w:r>
    </w:p>
    <w:p w14:paraId="11689B94" w14:textId="489EAF9A" w:rsidR="0099685F" w:rsidRPr="00A63DD4" w:rsidRDefault="00981762" w:rsidP="00A63DD4">
      <w:pPr>
        <w:pStyle w:val="BodyText"/>
        <w:spacing w:line="288" w:lineRule="auto"/>
        <w:ind w:right="93"/>
        <w:rPr>
          <w:sz w:val="20"/>
          <w:lang w:val="fr-FR"/>
        </w:rPr>
      </w:pPr>
      <w:r w:rsidRPr="00022147">
        <w:rPr>
          <w:sz w:val="20"/>
          <w:lang w:val="fr-FR"/>
        </w:rPr>
        <w:t>En outre</w:t>
      </w:r>
      <w:r w:rsidR="00A63DD4">
        <w:t>, l</w:t>
      </w:r>
      <w:r w:rsidR="00A63DD4" w:rsidRPr="00A63DD4">
        <w:rPr>
          <w:sz w:val="20"/>
          <w:lang w:val="fr-FR"/>
        </w:rPr>
        <w:t xml:space="preserve">’affaire </w:t>
      </w:r>
      <w:r w:rsidR="00A63DD4" w:rsidRPr="00A63DD4">
        <w:rPr>
          <w:i/>
          <w:sz w:val="20"/>
          <w:lang w:val="fr-FR"/>
        </w:rPr>
        <w:t>M.A. et Z.R</w:t>
      </w:r>
      <w:r w:rsidR="00A63DD4" w:rsidRPr="00A63DD4">
        <w:rPr>
          <w:sz w:val="20"/>
          <w:lang w:val="fr-FR"/>
        </w:rPr>
        <w:t xml:space="preserve">. met également en lumière une problématique plus large : la dépendance de la Cour </w:t>
      </w:r>
      <w:r w:rsidR="00501ED2">
        <w:rPr>
          <w:sz w:val="20"/>
          <w:lang w:val="fr-FR"/>
        </w:rPr>
        <w:t>européenne des droits humains</w:t>
      </w:r>
      <w:r w:rsidR="00A63DD4" w:rsidRPr="00A63DD4">
        <w:rPr>
          <w:sz w:val="20"/>
          <w:lang w:val="fr-FR"/>
        </w:rPr>
        <w:t xml:space="preserve"> à l’égard des preuves produites par les États</w:t>
      </w:r>
      <w:r w:rsidRPr="00022147">
        <w:rPr>
          <w:sz w:val="20"/>
          <w:lang w:val="fr-FR"/>
        </w:rPr>
        <w:t xml:space="preserve">. Sur les </w:t>
      </w:r>
      <w:hyperlink r:id="rId79">
        <w:r w:rsidRPr="00022147">
          <w:rPr>
            <w:color w:val="05037E"/>
            <w:sz w:val="20"/>
            <w:u w:val="single" w:color="05037E"/>
            <w:lang w:val="fr-FR"/>
          </w:rPr>
          <w:t xml:space="preserve">28 demandes </w:t>
        </w:r>
      </w:hyperlink>
      <w:r w:rsidRPr="00022147">
        <w:rPr>
          <w:sz w:val="20"/>
          <w:lang w:val="fr-FR"/>
        </w:rPr>
        <w:t xml:space="preserve">documentant des refoulements similaires, </w:t>
      </w:r>
      <w:r w:rsidR="00A63DD4" w:rsidRPr="00A63DD4">
        <w:rPr>
          <w:sz w:val="20"/>
          <w:lang w:val="fr-FR"/>
        </w:rPr>
        <w:t>seule cette affaire a été enregistrée par la Cour. Ce constat est significatif, car la CEDH rejette fréquemment les recours fondés sur des témoignages de victimes ou d’acteurs de la société civile, qu’elle juge insuffisants en l’absence</w:t>
      </w:r>
      <w:r w:rsidR="00A63DD4">
        <w:rPr>
          <w:sz w:val="20"/>
          <w:lang w:val="fr-FR"/>
        </w:rPr>
        <w:t xml:space="preserve"> </w:t>
      </w:r>
      <w:r w:rsidRPr="00022147">
        <w:rPr>
          <w:sz w:val="20"/>
          <w:lang w:val="fr-FR"/>
        </w:rPr>
        <w:t xml:space="preserve">de </w:t>
      </w:r>
      <w:hyperlink r:id="rId80">
        <w:r w:rsidR="00A63DD4">
          <w:rPr>
            <w:color w:val="05037E"/>
            <w:sz w:val="20"/>
            <w:u w:val="single" w:color="05037E"/>
            <w:lang w:val="fr-FR"/>
          </w:rPr>
          <w:t>preuves officiels émanant de</w:t>
        </w:r>
        <w:r w:rsidRPr="00022147">
          <w:rPr>
            <w:color w:val="05037E"/>
            <w:sz w:val="20"/>
            <w:u w:val="single" w:color="05037E"/>
            <w:lang w:val="fr-FR"/>
          </w:rPr>
          <w:t xml:space="preserve"> l'État</w:t>
        </w:r>
      </w:hyperlink>
      <w:r w:rsidRPr="00022147">
        <w:rPr>
          <w:sz w:val="20"/>
          <w:lang w:val="fr-FR"/>
        </w:rPr>
        <w:t xml:space="preserve">. </w:t>
      </w:r>
      <w:r w:rsidR="00A63DD4" w:rsidRPr="00A63DD4">
        <w:rPr>
          <w:sz w:val="20"/>
          <w:lang w:val="fr-FR"/>
        </w:rPr>
        <w:t>Cette partialité dans l’appréciation des preuves soulève des inquiétudes sur la capacité de la Cour à répondre efficacement aux violations, notamment dans le contexte de l’externalisation des politiques migratoires, où la documentation est souvent abs</w:t>
      </w:r>
      <w:r w:rsidR="00A63DD4">
        <w:rPr>
          <w:sz w:val="20"/>
          <w:lang w:val="fr-FR"/>
        </w:rPr>
        <w:t>ente, supprimée ou inaccessible</w:t>
      </w:r>
      <w:r w:rsidRPr="00022147">
        <w:rPr>
          <w:sz w:val="20"/>
          <w:lang w:val="fr-FR"/>
        </w:rPr>
        <w:t>.</w:t>
      </w:r>
    </w:p>
    <w:p w14:paraId="75254871" w14:textId="66A5AECA" w:rsidR="0099685F" w:rsidRPr="00754985" w:rsidRDefault="00754985" w:rsidP="00754985">
      <w:pPr>
        <w:pStyle w:val="BodyText"/>
        <w:spacing w:line="288" w:lineRule="auto"/>
        <w:ind w:right="34"/>
        <w:rPr>
          <w:sz w:val="20"/>
          <w:lang w:val="fr-FR"/>
        </w:rPr>
      </w:pPr>
      <w:r w:rsidRPr="00754985">
        <w:rPr>
          <w:sz w:val="20"/>
          <w:lang w:val="fr-FR"/>
        </w:rPr>
        <w:t xml:space="preserve">Cette affaire souligne la nécessité pour la Cour européenne des </w:t>
      </w:r>
      <w:r w:rsidR="00501ED2">
        <w:rPr>
          <w:sz w:val="20"/>
          <w:lang w:val="fr-FR"/>
        </w:rPr>
        <w:t>droits humains</w:t>
      </w:r>
      <w:r w:rsidRPr="00754985">
        <w:rPr>
          <w:sz w:val="20"/>
          <w:lang w:val="fr-FR"/>
        </w:rPr>
        <w:t xml:space="preserve"> de réinterroger ses présupposés en matière de preuve et d’adapter ses procédures, afin de garantir une reconnaissance plus juste et une réparation effective pour les victim</w:t>
      </w:r>
      <w:r>
        <w:rPr>
          <w:sz w:val="20"/>
          <w:lang w:val="fr-FR"/>
        </w:rPr>
        <w:t xml:space="preserve">es de violences aux frontières. </w:t>
      </w:r>
      <w:r w:rsidRPr="00754985">
        <w:rPr>
          <w:sz w:val="20"/>
          <w:lang w:val="fr-FR"/>
        </w:rPr>
        <w:t xml:space="preserve">Elle met également en évidence le risque que la Cour, en s’appuyant sur des États tiers jugés </w:t>
      </w:r>
      <w:hyperlink r:id="rId81" w:anchor="_ftn5">
        <w:r>
          <w:rPr>
            <w:sz w:val="20"/>
            <w:lang w:val="fr-FR"/>
          </w:rPr>
          <w:t>« </w:t>
        </w:r>
        <w:r w:rsidR="00981762" w:rsidRPr="00022147">
          <w:rPr>
            <w:color w:val="05037E"/>
            <w:sz w:val="20"/>
            <w:u w:val="single" w:color="05037E"/>
            <w:lang w:val="fr-FR"/>
          </w:rPr>
          <w:t>fiables</w:t>
        </w:r>
        <w:r>
          <w:rPr>
            <w:sz w:val="20"/>
            <w:lang w:val="fr-FR"/>
          </w:rPr>
          <w:t> »</w:t>
        </w:r>
      </w:hyperlink>
      <w:r>
        <w:rPr>
          <w:sz w:val="20"/>
          <w:lang w:val="fr-FR"/>
        </w:rPr>
        <w:t xml:space="preserve"> </w:t>
      </w:r>
      <w:r w:rsidRPr="00754985">
        <w:rPr>
          <w:sz w:val="20"/>
          <w:lang w:val="fr-FR"/>
        </w:rPr>
        <w:t>en matière de preuve, puisse involontairement légitimer l’externalisation de la gouvernance des frontières, notamment à travers des « partenariats opérationnels » avec ces pays.</w:t>
      </w:r>
    </w:p>
    <w:p w14:paraId="3259026D" w14:textId="77777777" w:rsidR="0099685F" w:rsidRPr="00022147" w:rsidRDefault="00981762">
      <w:pPr>
        <w:spacing w:before="120"/>
        <w:ind w:left="142"/>
        <w:rPr>
          <w:i/>
          <w:lang w:val="fr-FR"/>
        </w:rPr>
      </w:pPr>
      <w:r w:rsidRPr="00022147">
        <w:rPr>
          <w:i/>
          <w:sz w:val="20"/>
          <w:lang w:val="fr-FR"/>
        </w:rPr>
        <w:t xml:space="preserve">Vicky </w:t>
      </w:r>
      <w:proofErr w:type="spellStart"/>
      <w:r w:rsidRPr="00022147">
        <w:rPr>
          <w:i/>
          <w:spacing w:val="-2"/>
          <w:sz w:val="20"/>
          <w:lang w:val="fr-FR"/>
        </w:rPr>
        <w:t>Kapogianni</w:t>
      </w:r>
      <w:proofErr w:type="spellEnd"/>
    </w:p>
    <w:p w14:paraId="1BBECE51" w14:textId="77777777" w:rsidR="0099685F" w:rsidRPr="00022147" w:rsidRDefault="0099685F">
      <w:pPr>
        <w:rPr>
          <w:i/>
          <w:lang w:val="fr-FR"/>
        </w:rPr>
        <w:sectPr w:rsidR="0099685F" w:rsidRPr="00022147">
          <w:pgSz w:w="11910" w:h="16840"/>
          <w:pgMar w:top="1320" w:right="1417" w:bottom="1960" w:left="1275" w:header="0" w:footer="1766" w:gutter="0"/>
          <w:cols w:space="708"/>
        </w:sectPr>
      </w:pPr>
    </w:p>
    <w:p w14:paraId="01FDAE2E" w14:textId="77777777" w:rsidR="0099685F" w:rsidRPr="00022147" w:rsidRDefault="00981762">
      <w:pPr>
        <w:pStyle w:val="Heading1"/>
        <w:spacing w:line="288" w:lineRule="auto"/>
        <w:rPr>
          <w:lang w:val="fr-FR"/>
        </w:rPr>
      </w:pPr>
      <w:bookmarkStart w:id="19" w:name="Analysis:_Violence_at_a_distance:_Fronte"/>
      <w:bookmarkEnd w:id="19"/>
      <w:r w:rsidRPr="00022147">
        <w:rPr>
          <w:sz w:val="26"/>
          <w:lang w:val="fr-FR"/>
        </w:rPr>
        <w:lastRenderedPageBreak/>
        <w:t>Analyse : La violence à distance : Le rôle croissant de Frontex en dehors de l'UE</w:t>
      </w:r>
    </w:p>
    <w:p w14:paraId="7C0FC963" w14:textId="77777777" w:rsidR="0099685F" w:rsidRPr="00022147" w:rsidRDefault="00981762">
      <w:pPr>
        <w:pStyle w:val="BodyText"/>
        <w:tabs>
          <w:tab w:val="left" w:pos="862"/>
        </w:tabs>
        <w:ind w:left="502"/>
        <w:rPr>
          <w:lang w:val="fr-FR"/>
        </w:rPr>
      </w:pPr>
      <w:r w:rsidRPr="00022147">
        <w:rPr>
          <w:spacing w:val="-10"/>
          <w:sz w:val="20"/>
          <w:lang w:val="fr-FR"/>
        </w:rPr>
        <w:t>-</w:t>
      </w:r>
      <w:r w:rsidRPr="00022147">
        <w:rPr>
          <w:sz w:val="20"/>
          <w:lang w:val="fr-FR"/>
        </w:rPr>
        <w:tab/>
      </w:r>
      <w:proofErr w:type="spellStart"/>
      <w:r w:rsidRPr="00022147">
        <w:rPr>
          <w:sz w:val="20"/>
          <w:lang w:val="fr-FR"/>
        </w:rPr>
        <w:t>Marloes</w:t>
      </w:r>
      <w:proofErr w:type="spellEnd"/>
      <w:r w:rsidRPr="00022147">
        <w:rPr>
          <w:sz w:val="20"/>
          <w:lang w:val="fr-FR"/>
        </w:rPr>
        <w:t xml:space="preserve"> </w:t>
      </w:r>
      <w:proofErr w:type="spellStart"/>
      <w:r w:rsidRPr="00022147">
        <w:rPr>
          <w:spacing w:val="-2"/>
          <w:sz w:val="20"/>
          <w:lang w:val="fr-FR"/>
        </w:rPr>
        <w:t>Streppel</w:t>
      </w:r>
      <w:proofErr w:type="spellEnd"/>
    </w:p>
    <w:p w14:paraId="4485832E" w14:textId="27F31FA4" w:rsidR="009F46E8" w:rsidRDefault="009F46E8" w:rsidP="009F46E8">
      <w:pPr>
        <w:spacing w:before="170" w:line="288" w:lineRule="auto"/>
        <w:ind w:left="142" w:right="168"/>
        <w:rPr>
          <w:i/>
          <w:sz w:val="20"/>
          <w:lang w:val="fr-FR"/>
        </w:rPr>
      </w:pPr>
      <w:r w:rsidRPr="009F46E8">
        <w:rPr>
          <w:i/>
          <w:sz w:val="20"/>
          <w:lang w:val="fr-FR"/>
        </w:rPr>
        <w:t xml:space="preserve">L’Union européenne cherche à empêcher l’entrée sur son </w:t>
      </w:r>
      <w:r>
        <w:rPr>
          <w:i/>
          <w:sz w:val="20"/>
          <w:lang w:val="fr-FR"/>
        </w:rPr>
        <w:t>territoire de personnes jugées « indésirables »</w:t>
      </w:r>
      <w:r w:rsidRPr="009F46E8">
        <w:rPr>
          <w:i/>
          <w:sz w:val="20"/>
          <w:lang w:val="fr-FR"/>
        </w:rPr>
        <w:t xml:space="preserve"> en déléguant le contrôle des frontières à des pays tiers, avec le soutien de Frontex, l’agence e</w:t>
      </w:r>
      <w:r>
        <w:rPr>
          <w:i/>
          <w:sz w:val="20"/>
          <w:lang w:val="fr-FR"/>
        </w:rPr>
        <w:t xml:space="preserve">uropéenne des garde-frontières. </w:t>
      </w:r>
      <w:r w:rsidRPr="009F46E8">
        <w:rPr>
          <w:i/>
          <w:sz w:val="20"/>
          <w:lang w:val="fr-FR"/>
        </w:rPr>
        <w:t>Fronte</w:t>
      </w:r>
      <w:r>
        <w:rPr>
          <w:i/>
          <w:sz w:val="20"/>
          <w:lang w:val="fr-FR"/>
        </w:rPr>
        <w:t>x joue un rôle central dans un « </w:t>
      </w:r>
      <w:r w:rsidRPr="009F46E8">
        <w:rPr>
          <w:i/>
          <w:sz w:val="20"/>
          <w:lang w:val="fr-FR"/>
        </w:rPr>
        <w:t>réseau</w:t>
      </w:r>
      <w:r>
        <w:rPr>
          <w:i/>
          <w:sz w:val="20"/>
          <w:lang w:val="fr-FR"/>
        </w:rPr>
        <w:t xml:space="preserve"> de dissuasion violente »</w:t>
      </w:r>
      <w:r w:rsidRPr="009F46E8">
        <w:rPr>
          <w:i/>
          <w:sz w:val="20"/>
          <w:lang w:val="fr-FR"/>
        </w:rPr>
        <w:t>, ancré dans l’héritage colonial de l’Europe. Chaque année, l’agence publie un rapport sur ses activit</w:t>
      </w:r>
      <w:r>
        <w:rPr>
          <w:i/>
          <w:sz w:val="20"/>
          <w:lang w:val="fr-FR"/>
        </w:rPr>
        <w:t xml:space="preserve">és dans et avec des pays tiers. </w:t>
      </w:r>
      <w:r w:rsidRPr="009F46E8">
        <w:rPr>
          <w:i/>
          <w:sz w:val="20"/>
          <w:lang w:val="fr-FR"/>
        </w:rPr>
        <w:t xml:space="preserve">La dernière édition met en évidence l’élargissement de son mandat, tout en passant sous silence ou en ignorant les violations des </w:t>
      </w:r>
      <w:proofErr w:type="spellStart"/>
      <w:r w:rsidR="00C1636C">
        <w:rPr>
          <w:i/>
          <w:sz w:val="20"/>
          <w:lang w:val="fr-FR"/>
        </w:rPr>
        <w:t>é</w:t>
      </w:r>
      <w:r w:rsidRPr="009F46E8">
        <w:rPr>
          <w:i/>
          <w:sz w:val="20"/>
          <w:lang w:val="fr-FR"/>
        </w:rPr>
        <w:t>s</w:t>
      </w:r>
      <w:proofErr w:type="spellEnd"/>
      <w:r w:rsidRPr="009F46E8">
        <w:rPr>
          <w:i/>
          <w:sz w:val="20"/>
          <w:lang w:val="fr-FR"/>
        </w:rPr>
        <w:t xml:space="preserve"> humains liées à ses opérations.</w:t>
      </w:r>
    </w:p>
    <w:p w14:paraId="1DAC7EA4" w14:textId="77777777" w:rsidR="0099685F" w:rsidRPr="00022147" w:rsidRDefault="00981762">
      <w:pPr>
        <w:pStyle w:val="BodyText"/>
        <w:spacing w:before="121"/>
        <w:rPr>
          <w:lang w:val="fr-FR"/>
        </w:rPr>
      </w:pPr>
      <w:r w:rsidRPr="00022147">
        <w:rPr>
          <w:sz w:val="20"/>
          <w:lang w:val="fr-FR"/>
        </w:rPr>
        <w:t xml:space="preserve">Document : </w:t>
      </w:r>
      <w:hyperlink r:id="rId82">
        <w:r w:rsidRPr="00022147">
          <w:rPr>
            <w:color w:val="05037E"/>
            <w:sz w:val="20"/>
            <w:u w:val="single" w:color="05037E"/>
            <w:lang w:val="fr-FR"/>
          </w:rPr>
          <w:t xml:space="preserve">Coopération entre Frontex et les pays tiers en 2023 </w:t>
        </w:r>
      </w:hyperlink>
      <w:r w:rsidRPr="00022147">
        <w:rPr>
          <w:spacing w:val="-2"/>
          <w:sz w:val="20"/>
          <w:lang w:val="fr-FR"/>
        </w:rPr>
        <w:t>(</w:t>
      </w:r>
      <w:proofErr w:type="spellStart"/>
      <w:r w:rsidRPr="00022147">
        <w:rPr>
          <w:spacing w:val="-2"/>
          <w:sz w:val="20"/>
          <w:lang w:val="fr-FR"/>
        </w:rPr>
        <w:t>pdf</w:t>
      </w:r>
      <w:proofErr w:type="spellEnd"/>
      <w:r w:rsidRPr="00022147">
        <w:rPr>
          <w:spacing w:val="-2"/>
          <w:sz w:val="20"/>
          <w:lang w:val="fr-FR"/>
        </w:rPr>
        <w:t>)</w:t>
      </w:r>
    </w:p>
    <w:p w14:paraId="69822ECF" w14:textId="6AB98F2C" w:rsidR="00C06497" w:rsidRPr="00771240" w:rsidRDefault="00981762" w:rsidP="00771240">
      <w:pPr>
        <w:pStyle w:val="Heading3"/>
        <w:spacing w:before="170"/>
        <w:rPr>
          <w:lang w:val="fr-FR"/>
        </w:rPr>
      </w:pPr>
      <w:r w:rsidRPr="00022147">
        <w:rPr>
          <w:sz w:val="20"/>
          <w:lang w:val="fr-FR"/>
        </w:rPr>
        <w:t xml:space="preserve">Coopération de Frontex avec les </w:t>
      </w:r>
      <w:r w:rsidRPr="00022147">
        <w:rPr>
          <w:spacing w:val="-2"/>
          <w:sz w:val="20"/>
          <w:lang w:val="fr-FR"/>
        </w:rPr>
        <w:t xml:space="preserve">pays </w:t>
      </w:r>
      <w:r w:rsidRPr="00022147">
        <w:rPr>
          <w:sz w:val="20"/>
          <w:lang w:val="fr-FR"/>
        </w:rPr>
        <w:t>tiers</w:t>
      </w:r>
    </w:p>
    <w:p w14:paraId="27B28298" w14:textId="539E8571" w:rsidR="0099685F" w:rsidRPr="00022147" w:rsidRDefault="00C06497">
      <w:pPr>
        <w:pStyle w:val="BodyText"/>
        <w:spacing w:before="171" w:line="288" w:lineRule="auto"/>
        <w:rPr>
          <w:lang w:val="fr-FR"/>
        </w:rPr>
      </w:pPr>
      <w:r w:rsidRPr="00C06497">
        <w:rPr>
          <w:sz w:val="20"/>
          <w:lang w:val="fr-FR"/>
        </w:rPr>
        <w:t xml:space="preserve">Le travail de Frontex en matière d’externalisation des frontières s’inscrit dans une stratégie plus large de l’UE, visant à éloigner la </w:t>
      </w:r>
      <w:r>
        <w:rPr>
          <w:sz w:val="20"/>
          <w:lang w:val="fr-FR"/>
        </w:rPr>
        <w:t>« </w:t>
      </w:r>
      <w:r w:rsidRPr="00C06497">
        <w:rPr>
          <w:sz w:val="20"/>
          <w:lang w:val="fr-FR"/>
        </w:rPr>
        <w:t>violence générée par ses politiques de contrôle migratoire</w:t>
      </w:r>
      <w:r>
        <w:rPr>
          <w:sz w:val="20"/>
          <w:lang w:val="fr-FR"/>
        </w:rPr>
        <w:t> »</w:t>
      </w:r>
      <w:r w:rsidRPr="00C06497">
        <w:rPr>
          <w:sz w:val="20"/>
          <w:lang w:val="fr-FR"/>
        </w:rPr>
        <w:t xml:space="preserve">, </w:t>
      </w:r>
      <w:r w:rsidR="00981762" w:rsidRPr="00022147">
        <w:rPr>
          <w:sz w:val="20"/>
          <w:lang w:val="fr-FR"/>
        </w:rPr>
        <w:t xml:space="preserve">selon les termes de UE </w:t>
      </w:r>
      <w:hyperlink r:id="rId83">
        <w:r w:rsidR="00981762" w:rsidRPr="00022147">
          <w:rPr>
            <w:i/>
            <w:color w:val="05037E"/>
            <w:sz w:val="20"/>
            <w:u w:val="single" w:color="05037E"/>
            <w:lang w:val="fr-FR"/>
          </w:rPr>
          <w:t>Médecins sans frontières</w:t>
        </w:r>
      </w:hyperlink>
      <w:r w:rsidR="00981762" w:rsidRPr="00022147">
        <w:rPr>
          <w:sz w:val="20"/>
          <w:lang w:val="fr-FR"/>
        </w:rPr>
        <w:t>.</w:t>
      </w:r>
    </w:p>
    <w:p w14:paraId="0648DBF6" w14:textId="4B0FAB09" w:rsidR="0099685F" w:rsidRPr="00022147" w:rsidRDefault="00C06497">
      <w:pPr>
        <w:pStyle w:val="BodyText"/>
        <w:spacing w:line="288" w:lineRule="auto"/>
        <w:rPr>
          <w:lang w:val="fr-FR"/>
        </w:rPr>
      </w:pPr>
      <w:r>
        <w:rPr>
          <w:sz w:val="20"/>
          <w:lang w:val="fr-FR"/>
        </w:rPr>
        <w:t>Cette stratégie repose sur un « réseau de dissuasion violente »</w:t>
      </w:r>
      <w:r w:rsidRPr="00C06497">
        <w:rPr>
          <w:sz w:val="20"/>
          <w:lang w:val="fr-FR"/>
        </w:rPr>
        <w:t xml:space="preserve">, et présente </w:t>
      </w:r>
      <w:r w:rsidR="00981762" w:rsidRPr="00022147">
        <w:rPr>
          <w:sz w:val="20"/>
          <w:lang w:val="fr-FR"/>
        </w:rPr>
        <w:t xml:space="preserve">de </w:t>
      </w:r>
      <w:hyperlink r:id="rId84">
        <w:r w:rsidR="00981762" w:rsidRPr="00022147">
          <w:rPr>
            <w:color w:val="05037E"/>
            <w:sz w:val="20"/>
            <w:u w:val="single" w:color="05037E"/>
            <w:lang w:val="fr-FR"/>
          </w:rPr>
          <w:t xml:space="preserve">fortes continuités historiques </w:t>
        </w:r>
      </w:hyperlink>
      <w:r w:rsidR="00981762" w:rsidRPr="00022147">
        <w:rPr>
          <w:sz w:val="20"/>
          <w:lang w:val="fr-FR"/>
        </w:rPr>
        <w:t>avec le colonial de l'</w:t>
      </w:r>
      <w:proofErr w:type="spellStart"/>
      <w:r w:rsidR="00981762" w:rsidRPr="00022147">
        <w:rPr>
          <w:sz w:val="20"/>
          <w:lang w:val="fr-FR"/>
        </w:rPr>
        <w:t>Europe</w:t>
      </w:r>
      <w:r>
        <w:rPr>
          <w:sz w:val="20"/>
          <w:lang w:val="fr-FR"/>
        </w:rPr>
        <w:t>.Elle</w:t>
      </w:r>
      <w:proofErr w:type="spellEnd"/>
      <w:r>
        <w:rPr>
          <w:sz w:val="20"/>
          <w:lang w:val="fr-FR"/>
        </w:rPr>
        <w:t xml:space="preserve"> </w:t>
      </w:r>
      <w:hyperlink r:id="rId85" w:anchor="d1e202">
        <w:r>
          <w:rPr>
            <w:color w:val="05037E"/>
            <w:sz w:val="20"/>
            <w:u w:val="single" w:color="05037E"/>
            <w:lang w:val="fr-FR"/>
          </w:rPr>
          <w:t>contribue</w:t>
        </w:r>
        <w:r w:rsidR="00981762" w:rsidRPr="00022147">
          <w:rPr>
            <w:color w:val="05037E"/>
            <w:sz w:val="20"/>
            <w:u w:val="single" w:color="05037E"/>
            <w:lang w:val="fr-FR"/>
          </w:rPr>
          <w:t xml:space="preserve"> à maintenir </w:t>
        </w:r>
      </w:hyperlink>
      <w:r>
        <w:rPr>
          <w:sz w:val="20"/>
          <w:lang w:val="fr-FR"/>
        </w:rPr>
        <w:t>« </w:t>
      </w:r>
      <w:r w:rsidR="00981762" w:rsidRPr="00022147">
        <w:rPr>
          <w:sz w:val="20"/>
          <w:lang w:val="fr-FR"/>
        </w:rPr>
        <w:t xml:space="preserve">l'influence politique et économique européenne sur les anciens territoires colonisés tout en restreignant simultanément la circulation des </w:t>
      </w:r>
      <w:r w:rsidR="00771240">
        <w:rPr>
          <w:sz w:val="20"/>
          <w:lang w:val="fr-FR"/>
        </w:rPr>
        <w:t>personnes issues de ces territoires »</w:t>
      </w:r>
      <w:r w:rsidR="00981762" w:rsidRPr="00022147">
        <w:rPr>
          <w:sz w:val="20"/>
          <w:lang w:val="fr-FR"/>
        </w:rPr>
        <w:t>.</w:t>
      </w:r>
    </w:p>
    <w:p w14:paraId="56F9B30B" w14:textId="25B427C8" w:rsidR="00771240" w:rsidRPr="00771240" w:rsidRDefault="00771240" w:rsidP="00771240">
      <w:pPr>
        <w:pStyle w:val="BodyText"/>
        <w:spacing w:before="119" w:line="288" w:lineRule="auto"/>
        <w:rPr>
          <w:sz w:val="20"/>
          <w:lang w:val="fr-FR"/>
        </w:rPr>
      </w:pPr>
      <w:r w:rsidRPr="00771240">
        <w:rPr>
          <w:sz w:val="20"/>
          <w:lang w:val="fr-FR"/>
        </w:rPr>
        <w:t xml:space="preserve">Cette stratégie se </w:t>
      </w:r>
      <w:r>
        <w:rPr>
          <w:sz w:val="20"/>
          <w:lang w:val="fr-FR"/>
        </w:rPr>
        <w:t xml:space="preserve">manifeste de plusieurs façons : - </w:t>
      </w:r>
      <w:r w:rsidRPr="00771240">
        <w:rPr>
          <w:sz w:val="20"/>
          <w:lang w:val="fr-FR"/>
        </w:rPr>
        <w:t xml:space="preserve">le soutien aux refoulements violents aux frontières de l’UE, avec peu ou pas de moyens pour les personnes </w:t>
      </w:r>
      <w:r>
        <w:rPr>
          <w:sz w:val="20"/>
          <w:lang w:val="fr-FR"/>
        </w:rPr>
        <w:t xml:space="preserve">concernées de demander justice, - </w:t>
      </w:r>
      <w:r w:rsidRPr="00771240">
        <w:rPr>
          <w:sz w:val="20"/>
          <w:lang w:val="fr-FR"/>
        </w:rPr>
        <w:t>l’instrumentalisation de l’invasion russe de l’Ukraine pour étendre le mandat de Fro</w:t>
      </w:r>
      <w:r>
        <w:rPr>
          <w:sz w:val="20"/>
          <w:lang w:val="fr-FR"/>
        </w:rPr>
        <w:t xml:space="preserve">ntex en Ukraine et en Moldavie, - </w:t>
      </w:r>
      <w:r w:rsidRPr="00771240">
        <w:rPr>
          <w:sz w:val="20"/>
          <w:lang w:val="fr-FR"/>
        </w:rPr>
        <w:t>la mise en place d’accords de partage de données avec des États non membres de l’UE, susceptibles d’être utilisés pour orienter des opérations d’</w:t>
      </w:r>
      <w:r>
        <w:rPr>
          <w:sz w:val="20"/>
          <w:lang w:val="fr-FR"/>
        </w:rPr>
        <w:t>interception et de refoulement.</w:t>
      </w:r>
    </w:p>
    <w:p w14:paraId="75409556" w14:textId="227ED194" w:rsidR="0099685F" w:rsidRPr="00771240" w:rsidRDefault="00771240" w:rsidP="00771240">
      <w:pPr>
        <w:pStyle w:val="BodyText"/>
        <w:spacing w:before="119" w:line="288" w:lineRule="auto"/>
        <w:rPr>
          <w:sz w:val="20"/>
          <w:lang w:val="fr-FR"/>
        </w:rPr>
      </w:pPr>
      <w:r w:rsidRPr="00771240">
        <w:rPr>
          <w:sz w:val="20"/>
          <w:lang w:val="fr-FR"/>
        </w:rPr>
        <w:t>Il n’est pas surprenant que le rapport annuel de Frontex occulte ces questions. Lorsqu’elles sont mentionnées, c’est dans un langage technique et bureaucratique, minimisant leur</w:t>
      </w:r>
      <w:r>
        <w:rPr>
          <w:sz w:val="20"/>
          <w:lang w:val="fr-FR"/>
        </w:rPr>
        <w:t xml:space="preserve"> portée politique et juridique.</w:t>
      </w:r>
    </w:p>
    <w:p w14:paraId="49ADFD53" w14:textId="77777777" w:rsidR="0099685F" w:rsidRPr="00022147" w:rsidRDefault="00981762">
      <w:pPr>
        <w:pStyle w:val="Heading3"/>
        <w:rPr>
          <w:lang w:val="fr-FR"/>
        </w:rPr>
      </w:pPr>
      <w:r w:rsidRPr="00022147">
        <w:rPr>
          <w:sz w:val="20"/>
          <w:lang w:val="fr-FR"/>
        </w:rPr>
        <w:t xml:space="preserve">Le mandat de </w:t>
      </w:r>
      <w:r w:rsidRPr="00022147">
        <w:rPr>
          <w:spacing w:val="-2"/>
          <w:sz w:val="20"/>
          <w:lang w:val="fr-FR"/>
        </w:rPr>
        <w:t xml:space="preserve">coopération </w:t>
      </w:r>
      <w:r w:rsidRPr="00022147">
        <w:rPr>
          <w:sz w:val="20"/>
          <w:lang w:val="fr-FR"/>
        </w:rPr>
        <w:t>de Frontex</w:t>
      </w:r>
    </w:p>
    <w:p w14:paraId="297EE451" w14:textId="77777777" w:rsidR="007419D2" w:rsidRDefault="00981762">
      <w:pPr>
        <w:pStyle w:val="BodyText"/>
        <w:spacing w:before="171" w:line="288" w:lineRule="auto"/>
        <w:ind w:right="80"/>
        <w:jc w:val="both"/>
        <w:rPr>
          <w:sz w:val="20"/>
          <w:lang w:val="fr-FR"/>
        </w:rPr>
      </w:pPr>
      <w:r w:rsidRPr="00022147">
        <w:rPr>
          <w:sz w:val="20"/>
          <w:lang w:val="fr-FR"/>
        </w:rPr>
        <w:t>Frontex dispose d'un mandat étendu en matière</w:t>
      </w:r>
      <w:r w:rsidR="00771240">
        <w:rPr>
          <w:sz w:val="20"/>
          <w:lang w:val="fr-FR"/>
        </w:rPr>
        <w:t xml:space="preserve"> de coopération avec les pays </w:t>
      </w:r>
      <w:r w:rsidRPr="00022147">
        <w:rPr>
          <w:sz w:val="20"/>
          <w:lang w:val="fr-FR"/>
        </w:rPr>
        <w:t>tiers</w:t>
      </w:r>
      <w:r w:rsidR="00771240">
        <w:rPr>
          <w:sz w:val="20"/>
          <w:lang w:val="fr-FR"/>
        </w:rPr>
        <w:t xml:space="preserve">. </w:t>
      </w:r>
      <w:r w:rsidRPr="00022147">
        <w:rPr>
          <w:sz w:val="20"/>
          <w:lang w:val="fr-FR"/>
        </w:rPr>
        <w:t xml:space="preserve">Ce rôle s'est élargi </w:t>
      </w:r>
      <w:r w:rsidR="00771240">
        <w:rPr>
          <w:sz w:val="20"/>
          <w:lang w:val="fr-FR"/>
        </w:rPr>
        <w:t xml:space="preserve">progressivement </w:t>
      </w:r>
      <w:r w:rsidRPr="00022147">
        <w:rPr>
          <w:sz w:val="20"/>
          <w:lang w:val="fr-FR"/>
        </w:rPr>
        <w:t>au</w:t>
      </w:r>
      <w:r w:rsidR="00771240">
        <w:rPr>
          <w:sz w:val="20"/>
          <w:lang w:val="fr-FR"/>
        </w:rPr>
        <w:t xml:space="preserve"> fil</w:t>
      </w:r>
      <w:r w:rsidRPr="00022147">
        <w:rPr>
          <w:sz w:val="20"/>
          <w:lang w:val="fr-FR"/>
        </w:rPr>
        <w:t xml:space="preserve">  du temps,</w:t>
      </w:r>
      <w:r w:rsidR="00771240">
        <w:rPr>
          <w:sz w:val="20"/>
          <w:lang w:val="fr-FR"/>
        </w:rPr>
        <w:t xml:space="preserve"> notamment avec l’attribution</w:t>
      </w:r>
      <w:r w:rsidRPr="00022147">
        <w:rPr>
          <w:sz w:val="20"/>
          <w:lang w:val="fr-FR"/>
        </w:rPr>
        <w:t xml:space="preserve"> de nouvelles tâches </w:t>
      </w:r>
      <w:hyperlink r:id="rId86">
        <w:r w:rsidRPr="00022147">
          <w:rPr>
            <w:color w:val="05037E"/>
            <w:sz w:val="20"/>
            <w:u w:val="single" w:color="05037E"/>
            <w:lang w:val="fr-FR"/>
          </w:rPr>
          <w:t>en 2016 et en 2019</w:t>
        </w:r>
      </w:hyperlink>
      <w:r w:rsidRPr="00022147">
        <w:rPr>
          <w:sz w:val="20"/>
          <w:lang w:val="fr-FR"/>
        </w:rPr>
        <w:t xml:space="preserve">. </w:t>
      </w:r>
      <w:r w:rsidR="00771240">
        <w:rPr>
          <w:sz w:val="20"/>
          <w:lang w:val="fr-FR"/>
        </w:rPr>
        <w:t xml:space="preserve">  </w:t>
      </w:r>
    </w:p>
    <w:p w14:paraId="269A8CD1" w14:textId="268AA389" w:rsidR="007419D2" w:rsidRDefault="007419D2">
      <w:pPr>
        <w:pStyle w:val="BodyText"/>
        <w:spacing w:before="171" w:line="288" w:lineRule="auto"/>
        <w:ind w:right="80"/>
        <w:jc w:val="both"/>
        <w:rPr>
          <w:sz w:val="20"/>
        </w:rPr>
      </w:pPr>
      <w:r w:rsidRPr="007419D2">
        <w:rPr>
          <w:sz w:val="20"/>
        </w:rPr>
        <w:t xml:space="preserve">Dans </w:t>
      </w:r>
      <w:proofErr w:type="spellStart"/>
      <w:r w:rsidRPr="007419D2">
        <w:rPr>
          <w:sz w:val="20"/>
        </w:rPr>
        <w:t>ce</w:t>
      </w:r>
      <w:proofErr w:type="spellEnd"/>
      <w:r w:rsidRPr="007419D2">
        <w:rPr>
          <w:sz w:val="20"/>
        </w:rPr>
        <w:t xml:space="preserve"> cadre, Frontex </w:t>
      </w:r>
      <w:proofErr w:type="spellStart"/>
      <w:r w:rsidRPr="007419D2">
        <w:rPr>
          <w:sz w:val="20"/>
        </w:rPr>
        <w:t>est</w:t>
      </w:r>
      <w:proofErr w:type="spellEnd"/>
      <w:r w:rsidRPr="007419D2">
        <w:rPr>
          <w:sz w:val="20"/>
        </w:rPr>
        <w:t xml:space="preserve"> </w:t>
      </w:r>
      <w:proofErr w:type="spellStart"/>
      <w:r w:rsidRPr="007419D2">
        <w:rPr>
          <w:sz w:val="20"/>
        </w:rPr>
        <w:t>habilitée</w:t>
      </w:r>
      <w:proofErr w:type="spellEnd"/>
      <w:r w:rsidRPr="007419D2">
        <w:rPr>
          <w:sz w:val="20"/>
        </w:rPr>
        <w:t xml:space="preserve"> à</w:t>
      </w:r>
      <w:r>
        <w:rPr>
          <w:sz w:val="20"/>
        </w:rPr>
        <w:t>:</w:t>
      </w:r>
    </w:p>
    <w:p w14:paraId="47AAE8C5" w14:textId="087114CF" w:rsidR="0099685F" w:rsidRPr="00022147" w:rsidRDefault="007419D2" w:rsidP="007419D2">
      <w:pPr>
        <w:pStyle w:val="ListParagraph"/>
        <w:numPr>
          <w:ilvl w:val="0"/>
          <w:numId w:val="1"/>
        </w:numPr>
        <w:tabs>
          <w:tab w:val="left" w:pos="862"/>
        </w:tabs>
        <w:spacing w:before="131" w:line="276" w:lineRule="auto"/>
        <w:ind w:right="86"/>
        <w:jc w:val="both"/>
        <w:rPr>
          <w:lang w:val="fr-FR"/>
        </w:rPr>
      </w:pPr>
      <w:r>
        <w:rPr>
          <w:sz w:val="20"/>
          <w:lang w:val="fr-FR"/>
        </w:rPr>
        <w:t xml:space="preserve"> </w:t>
      </w:r>
      <w:r w:rsidRPr="007419D2">
        <w:rPr>
          <w:sz w:val="20"/>
          <w:lang w:val="fr-FR"/>
        </w:rPr>
        <w:t xml:space="preserve">déployer des équipes de gestion des </w:t>
      </w:r>
      <w:r>
        <w:rPr>
          <w:sz w:val="20"/>
          <w:lang w:val="fr-FR"/>
        </w:rPr>
        <w:t>« </w:t>
      </w:r>
      <w:r w:rsidRPr="007419D2">
        <w:rPr>
          <w:sz w:val="20"/>
          <w:lang w:val="fr-FR"/>
        </w:rPr>
        <w:t>frontières, composées de gardes-frontières</w:t>
      </w:r>
      <w:r>
        <w:rPr>
          <w:sz w:val="20"/>
          <w:lang w:val="fr-FR"/>
        </w:rPr>
        <w:t> </w:t>
      </w:r>
      <w:r w:rsidRPr="007419D2">
        <w:rPr>
          <w:sz w:val="20"/>
          <w:lang w:val="fr-FR"/>
        </w:rPr>
        <w:t xml:space="preserve"> européens</w:t>
      </w:r>
      <w:r>
        <w:rPr>
          <w:sz w:val="20"/>
          <w:lang w:val="fr-FR"/>
        </w:rPr>
        <w:t> »</w:t>
      </w:r>
      <w:r w:rsidRPr="007419D2">
        <w:rPr>
          <w:sz w:val="20"/>
          <w:lang w:val="fr-FR"/>
        </w:rPr>
        <w:t>, dans des États non membres de l’UE ;</w:t>
      </w:r>
      <w:r>
        <w:rPr>
          <w:sz w:val="20"/>
          <w:lang w:val="fr-FR"/>
        </w:rPr>
        <w:t xml:space="preserve"> </w:t>
      </w:r>
    </w:p>
    <w:p w14:paraId="02B09E91" w14:textId="77777777" w:rsidR="0099685F" w:rsidRPr="00022147" w:rsidRDefault="00981762">
      <w:pPr>
        <w:pStyle w:val="ListParagraph"/>
        <w:numPr>
          <w:ilvl w:val="0"/>
          <w:numId w:val="1"/>
        </w:numPr>
        <w:tabs>
          <w:tab w:val="left" w:pos="861"/>
        </w:tabs>
        <w:spacing w:before="143"/>
        <w:ind w:left="861" w:hanging="359"/>
        <w:jc w:val="both"/>
        <w:rPr>
          <w:lang w:val="fr-FR"/>
        </w:rPr>
      </w:pPr>
      <w:r w:rsidRPr="00022147">
        <w:rPr>
          <w:sz w:val="20"/>
          <w:lang w:val="fr-FR"/>
        </w:rPr>
        <w:t xml:space="preserve">aider à la formation des </w:t>
      </w:r>
      <w:r w:rsidRPr="00022147">
        <w:rPr>
          <w:spacing w:val="-2"/>
          <w:sz w:val="20"/>
          <w:lang w:val="fr-FR"/>
        </w:rPr>
        <w:t xml:space="preserve">gardes-frontières </w:t>
      </w:r>
      <w:r w:rsidRPr="00022147">
        <w:rPr>
          <w:sz w:val="20"/>
          <w:lang w:val="fr-FR"/>
        </w:rPr>
        <w:t>des pays tiers ;</w:t>
      </w:r>
    </w:p>
    <w:p w14:paraId="4CBFE1B7" w14:textId="77777777" w:rsidR="0099685F" w:rsidRPr="00022147" w:rsidRDefault="00981762">
      <w:pPr>
        <w:pStyle w:val="ListParagraph"/>
        <w:numPr>
          <w:ilvl w:val="0"/>
          <w:numId w:val="1"/>
        </w:numPr>
        <w:tabs>
          <w:tab w:val="left" w:pos="861"/>
        </w:tabs>
        <w:ind w:left="861" w:hanging="359"/>
        <w:jc w:val="both"/>
        <w:rPr>
          <w:lang w:val="fr-FR"/>
        </w:rPr>
      </w:pPr>
      <w:r w:rsidRPr="00022147">
        <w:rPr>
          <w:sz w:val="20"/>
          <w:lang w:val="fr-FR"/>
        </w:rPr>
        <w:t xml:space="preserve">soutenir la coopération en matière d'expulsion et de réadmission </w:t>
      </w:r>
      <w:r w:rsidRPr="00022147">
        <w:rPr>
          <w:spacing w:val="-5"/>
          <w:sz w:val="20"/>
          <w:lang w:val="fr-FR"/>
        </w:rPr>
        <w:t>; et</w:t>
      </w:r>
    </w:p>
    <w:p w14:paraId="6C27E56F" w14:textId="12B6BE93" w:rsidR="007419D2" w:rsidRPr="007419D2" w:rsidRDefault="00981762" w:rsidP="007419D2">
      <w:pPr>
        <w:pStyle w:val="ListParagraph"/>
        <w:numPr>
          <w:ilvl w:val="0"/>
          <w:numId w:val="1"/>
        </w:numPr>
        <w:tabs>
          <w:tab w:val="left" w:pos="861"/>
        </w:tabs>
        <w:spacing w:before="170" w:line="276" w:lineRule="auto"/>
        <w:ind w:left="861" w:right="416"/>
        <w:rPr>
          <w:lang w:val="fr-FR"/>
        </w:rPr>
      </w:pPr>
      <w:r w:rsidRPr="00022147">
        <w:rPr>
          <w:sz w:val="20"/>
          <w:lang w:val="fr-FR"/>
        </w:rPr>
        <w:t>contribuer à la coopération technique et opérationnelle entre les États membres de l'UE et les États non membres de l'UE.</w:t>
      </w:r>
    </w:p>
    <w:p w14:paraId="3BF4DFB5" w14:textId="7CFA611D" w:rsidR="0099685F" w:rsidRPr="00022147" w:rsidRDefault="00981762">
      <w:pPr>
        <w:pStyle w:val="BodyText"/>
        <w:spacing w:before="132" w:line="288" w:lineRule="auto"/>
        <w:ind w:left="141"/>
        <w:rPr>
          <w:lang w:val="fr-FR"/>
        </w:rPr>
      </w:pPr>
      <w:r w:rsidRPr="00022147">
        <w:rPr>
          <w:sz w:val="20"/>
          <w:lang w:val="fr-FR"/>
        </w:rPr>
        <w:t>Selon le rapport, en 2023, Frontex a concentré ses efforts de coopération principalement sur les</w:t>
      </w:r>
      <w:r w:rsidR="007419D2">
        <w:rPr>
          <w:sz w:val="20"/>
          <w:lang w:val="fr-FR"/>
        </w:rPr>
        <w:t xml:space="preserve"> Balkans</w:t>
      </w:r>
      <w:r w:rsidRPr="00022147">
        <w:rPr>
          <w:sz w:val="20"/>
          <w:lang w:val="fr-FR"/>
        </w:rPr>
        <w:t xml:space="preserve"> </w:t>
      </w:r>
      <w:r w:rsidR="007419D2" w:rsidRPr="00022147">
        <w:rPr>
          <w:sz w:val="20"/>
          <w:lang w:val="fr-FR"/>
        </w:rPr>
        <w:t>occidentaux,</w:t>
      </w:r>
      <w:r w:rsidRPr="00022147">
        <w:rPr>
          <w:sz w:val="20"/>
          <w:lang w:val="fr-FR"/>
        </w:rPr>
        <w:t xml:space="preserve"> ainsi que sur la Géorgie</w:t>
      </w:r>
      <w:r w:rsidR="007419D2">
        <w:rPr>
          <w:sz w:val="20"/>
          <w:lang w:val="fr-FR"/>
        </w:rPr>
        <w:t>, l'Ukraine et la Moldavie. Le « </w:t>
      </w:r>
      <w:hyperlink r:id="rId87">
        <w:r w:rsidRPr="00022147">
          <w:rPr>
            <w:color w:val="05037E"/>
            <w:sz w:val="20"/>
            <w:u w:val="single" w:color="05037E"/>
            <w:lang w:val="fr-FR"/>
          </w:rPr>
          <w:t>voisinage méridional</w:t>
        </w:r>
      </w:hyperlink>
      <w:r w:rsidR="007419D2">
        <w:rPr>
          <w:sz w:val="20"/>
          <w:lang w:val="fr-FR"/>
        </w:rPr>
        <w:t> »</w:t>
      </w:r>
      <w:r w:rsidRPr="00022147">
        <w:rPr>
          <w:sz w:val="20"/>
          <w:lang w:val="fr-FR"/>
        </w:rPr>
        <w:t xml:space="preserve"> et l'Afrique de l'Ouest</w:t>
      </w:r>
      <w:r w:rsidR="007419D2">
        <w:rPr>
          <w:sz w:val="20"/>
          <w:lang w:val="fr-FR"/>
        </w:rPr>
        <w:t xml:space="preserve"> </w:t>
      </w:r>
      <w:r w:rsidR="007419D2" w:rsidRPr="007419D2">
        <w:rPr>
          <w:sz w:val="20"/>
          <w:lang w:val="fr-FR"/>
        </w:rPr>
        <w:t>figurent également parmi ses principales zones prioritaires</w:t>
      </w:r>
      <w:r w:rsidR="007419D2">
        <w:rPr>
          <w:sz w:val="20"/>
          <w:lang w:val="fr-FR"/>
        </w:rPr>
        <w:t>.</w:t>
      </w:r>
    </w:p>
    <w:p w14:paraId="3C37056F" w14:textId="77777777" w:rsidR="0099685F" w:rsidRPr="00022147" w:rsidRDefault="0099685F">
      <w:pPr>
        <w:pStyle w:val="BodyText"/>
        <w:spacing w:line="288" w:lineRule="auto"/>
        <w:rPr>
          <w:lang w:val="fr-FR"/>
        </w:rPr>
        <w:sectPr w:rsidR="0099685F" w:rsidRPr="00022147">
          <w:pgSz w:w="11910" w:h="16840"/>
          <w:pgMar w:top="1320" w:right="1417" w:bottom="1960" w:left="1275" w:header="0" w:footer="1766" w:gutter="0"/>
          <w:cols w:space="708"/>
        </w:sectPr>
      </w:pPr>
    </w:p>
    <w:p w14:paraId="25D855A2" w14:textId="77777777" w:rsidR="0099685F" w:rsidRPr="00022147" w:rsidRDefault="00981762">
      <w:pPr>
        <w:pStyle w:val="Heading3"/>
        <w:spacing w:before="62"/>
        <w:rPr>
          <w:lang w:val="fr-FR"/>
        </w:rPr>
      </w:pPr>
      <w:r w:rsidRPr="00022147">
        <w:rPr>
          <w:sz w:val="20"/>
          <w:lang w:val="fr-FR"/>
        </w:rPr>
        <w:lastRenderedPageBreak/>
        <w:t xml:space="preserve">Renforcer les contrôles aux frontières dans les </w:t>
      </w:r>
      <w:r w:rsidRPr="00022147">
        <w:rPr>
          <w:spacing w:val="-2"/>
          <w:sz w:val="20"/>
          <w:lang w:val="fr-FR"/>
        </w:rPr>
        <w:t xml:space="preserve">pays </w:t>
      </w:r>
      <w:r w:rsidRPr="00022147">
        <w:rPr>
          <w:sz w:val="20"/>
          <w:lang w:val="fr-FR"/>
        </w:rPr>
        <w:t>en phase de préadhésion</w:t>
      </w:r>
    </w:p>
    <w:p w14:paraId="7EDE4904" w14:textId="79514BE5" w:rsidR="00B200B6" w:rsidRDefault="00B200B6" w:rsidP="00B200B6">
      <w:pPr>
        <w:pStyle w:val="BodyText"/>
        <w:spacing w:before="171" w:line="288" w:lineRule="auto"/>
        <w:ind w:right="72"/>
        <w:rPr>
          <w:sz w:val="20"/>
          <w:lang w:val="fr-FR"/>
        </w:rPr>
      </w:pPr>
      <w:r w:rsidRPr="00B200B6">
        <w:rPr>
          <w:sz w:val="20"/>
          <w:lang w:val="fr-FR"/>
        </w:rPr>
        <w:t>Pour</w:t>
      </w:r>
      <w:r>
        <w:rPr>
          <w:sz w:val="20"/>
          <w:lang w:val="fr-FR"/>
        </w:rPr>
        <w:t xml:space="preserve"> qu’un </w:t>
      </w:r>
      <w:r w:rsidRPr="00B200B6">
        <w:rPr>
          <w:sz w:val="20"/>
          <w:lang w:val="fr-FR"/>
        </w:rPr>
        <w:t>État</w:t>
      </w:r>
      <w:r>
        <w:rPr>
          <w:sz w:val="20"/>
          <w:lang w:val="fr-FR"/>
        </w:rPr>
        <w:t xml:space="preserve"> puisse</w:t>
      </w:r>
      <w:r w:rsidRPr="00B200B6">
        <w:rPr>
          <w:sz w:val="20"/>
          <w:lang w:val="fr-FR"/>
        </w:rPr>
        <w:t xml:space="preserve"> int</w:t>
      </w:r>
      <w:r>
        <w:rPr>
          <w:sz w:val="20"/>
          <w:lang w:val="fr-FR"/>
        </w:rPr>
        <w:t>égrer l’Union européenne, un il</w:t>
      </w:r>
      <w:r w:rsidRPr="00B200B6">
        <w:rPr>
          <w:sz w:val="20"/>
          <w:lang w:val="fr-FR"/>
        </w:rPr>
        <w:t xml:space="preserve"> doit aligner sa législation, ses politiques et ses pratiques sur les normes de l’UE dans le</w:t>
      </w:r>
      <w:r>
        <w:rPr>
          <w:sz w:val="20"/>
          <w:lang w:val="fr-FR"/>
        </w:rPr>
        <w:t xml:space="preserve"> cadre du processus d’ « adhésion ». </w:t>
      </w:r>
      <w:r w:rsidRPr="00B200B6">
        <w:rPr>
          <w:sz w:val="20"/>
          <w:lang w:val="fr-FR"/>
        </w:rPr>
        <w:t xml:space="preserve">En 2023, Frontex a désigné comme prioritaires les </w:t>
      </w:r>
      <w:r>
        <w:rPr>
          <w:sz w:val="20"/>
          <w:lang w:val="fr-FR"/>
        </w:rPr>
        <w:t>pays engagés dans ce processus.</w:t>
      </w:r>
    </w:p>
    <w:p w14:paraId="29B7BE8F" w14:textId="3D9E598D" w:rsidR="00B200B6" w:rsidRDefault="00B200B6" w:rsidP="00B200B6">
      <w:pPr>
        <w:pStyle w:val="BodyText"/>
        <w:spacing w:before="171" w:line="288" w:lineRule="auto"/>
        <w:ind w:right="72"/>
        <w:rPr>
          <w:sz w:val="20"/>
          <w:lang w:val="fr-FR"/>
        </w:rPr>
      </w:pPr>
      <w:r w:rsidRPr="00B200B6">
        <w:rPr>
          <w:sz w:val="20"/>
          <w:lang w:val="fr-FR"/>
        </w:rPr>
        <w:t>L’agence y mène actuellement des opérations conjointes, notamment dans :</w:t>
      </w:r>
    </w:p>
    <w:p w14:paraId="15FCF47C" w14:textId="006EE8B4" w:rsidR="0099685F" w:rsidRDefault="00981762">
      <w:pPr>
        <w:pStyle w:val="ListParagraph"/>
        <w:numPr>
          <w:ilvl w:val="0"/>
          <w:numId w:val="1"/>
        </w:numPr>
        <w:tabs>
          <w:tab w:val="left" w:pos="862"/>
        </w:tabs>
        <w:spacing w:before="182"/>
      </w:pPr>
      <w:r>
        <w:rPr>
          <w:sz w:val="20"/>
        </w:rPr>
        <w:t>Albanie (</w:t>
      </w:r>
      <w:proofErr w:type="spellStart"/>
      <w:r>
        <w:rPr>
          <w:sz w:val="20"/>
        </w:rPr>
        <w:t>depuis</w:t>
      </w:r>
      <w:proofErr w:type="spellEnd"/>
      <w:r>
        <w:rPr>
          <w:sz w:val="20"/>
        </w:rPr>
        <w:t xml:space="preserve"> </w:t>
      </w:r>
      <w:r>
        <w:rPr>
          <w:spacing w:val="-2"/>
          <w:sz w:val="20"/>
        </w:rPr>
        <w:t>2019</w:t>
      </w:r>
      <w:r w:rsidR="00B200B6">
        <w:rPr>
          <w:spacing w:val="-2"/>
          <w:sz w:val="20"/>
        </w:rPr>
        <w:t>);</w:t>
      </w:r>
    </w:p>
    <w:p w14:paraId="243C046D" w14:textId="091F6E11" w:rsidR="0099685F" w:rsidRDefault="00981762">
      <w:pPr>
        <w:pStyle w:val="ListParagraph"/>
        <w:numPr>
          <w:ilvl w:val="0"/>
          <w:numId w:val="1"/>
        </w:numPr>
        <w:tabs>
          <w:tab w:val="left" w:pos="862"/>
        </w:tabs>
        <w:spacing w:before="170"/>
      </w:pPr>
      <w:proofErr w:type="spellStart"/>
      <w:r>
        <w:rPr>
          <w:sz w:val="20"/>
        </w:rPr>
        <w:t>Moldavie</w:t>
      </w:r>
      <w:proofErr w:type="spellEnd"/>
      <w:r>
        <w:rPr>
          <w:sz w:val="20"/>
        </w:rPr>
        <w:t xml:space="preserve"> </w:t>
      </w:r>
      <w:r>
        <w:rPr>
          <w:spacing w:val="-2"/>
          <w:sz w:val="20"/>
        </w:rPr>
        <w:t>(2022</w:t>
      </w:r>
      <w:r w:rsidR="00B200B6">
        <w:rPr>
          <w:spacing w:val="-2"/>
          <w:sz w:val="20"/>
        </w:rPr>
        <w:t>);</w:t>
      </w:r>
    </w:p>
    <w:p w14:paraId="2D829919" w14:textId="5DC4083E" w:rsidR="0099685F" w:rsidRDefault="00981762">
      <w:pPr>
        <w:pStyle w:val="ListParagraph"/>
        <w:numPr>
          <w:ilvl w:val="0"/>
          <w:numId w:val="1"/>
        </w:numPr>
        <w:tabs>
          <w:tab w:val="left" w:pos="862"/>
        </w:tabs>
      </w:pPr>
      <w:proofErr w:type="spellStart"/>
      <w:r>
        <w:rPr>
          <w:sz w:val="20"/>
        </w:rPr>
        <w:t>Monténégro</w:t>
      </w:r>
      <w:proofErr w:type="spellEnd"/>
      <w:r>
        <w:rPr>
          <w:sz w:val="20"/>
        </w:rPr>
        <w:t xml:space="preserve"> </w:t>
      </w:r>
      <w:r>
        <w:rPr>
          <w:spacing w:val="-2"/>
          <w:sz w:val="20"/>
        </w:rPr>
        <w:t>(2020</w:t>
      </w:r>
      <w:r w:rsidR="00B200B6">
        <w:rPr>
          <w:spacing w:val="-2"/>
          <w:sz w:val="20"/>
        </w:rPr>
        <w:t>);</w:t>
      </w:r>
    </w:p>
    <w:p w14:paraId="06382336" w14:textId="32EA494A" w:rsidR="0099685F" w:rsidRDefault="00981762">
      <w:pPr>
        <w:pStyle w:val="ListParagraph"/>
        <w:numPr>
          <w:ilvl w:val="0"/>
          <w:numId w:val="1"/>
        </w:numPr>
        <w:tabs>
          <w:tab w:val="left" w:pos="862"/>
        </w:tabs>
        <w:spacing w:before="171"/>
      </w:pPr>
      <w:r>
        <w:rPr>
          <w:sz w:val="20"/>
        </w:rPr>
        <w:t>Macédoine du Nord (2023</w:t>
      </w:r>
      <w:r w:rsidR="00B200B6">
        <w:rPr>
          <w:spacing w:val="-5"/>
          <w:sz w:val="20"/>
        </w:rPr>
        <w:t>);</w:t>
      </w:r>
      <w:r>
        <w:rPr>
          <w:spacing w:val="-5"/>
          <w:sz w:val="20"/>
        </w:rPr>
        <w:t xml:space="preserve"> et</w:t>
      </w:r>
    </w:p>
    <w:p w14:paraId="200F0561" w14:textId="672F4488" w:rsidR="00B200B6" w:rsidRPr="00C1228E" w:rsidRDefault="00981762" w:rsidP="00C1228E">
      <w:pPr>
        <w:pStyle w:val="ListParagraph"/>
        <w:numPr>
          <w:ilvl w:val="0"/>
          <w:numId w:val="1"/>
        </w:numPr>
        <w:tabs>
          <w:tab w:val="left" w:pos="862"/>
        </w:tabs>
      </w:pPr>
      <w:proofErr w:type="spellStart"/>
      <w:r>
        <w:rPr>
          <w:sz w:val="20"/>
        </w:rPr>
        <w:t>Serbie</w:t>
      </w:r>
      <w:proofErr w:type="spellEnd"/>
      <w:r>
        <w:rPr>
          <w:sz w:val="20"/>
        </w:rPr>
        <w:t xml:space="preserve"> </w:t>
      </w:r>
      <w:r>
        <w:rPr>
          <w:spacing w:val="-2"/>
          <w:sz w:val="20"/>
        </w:rPr>
        <w:t>(2021).</w:t>
      </w:r>
    </w:p>
    <w:p w14:paraId="5FC3933C" w14:textId="30F9FD0D" w:rsidR="00C1228E" w:rsidRPr="00C1228E" w:rsidRDefault="00C1228E" w:rsidP="00C1228E">
      <w:pPr>
        <w:pStyle w:val="BodyText"/>
        <w:spacing w:before="159" w:line="288" w:lineRule="auto"/>
        <w:ind w:left="141" w:right="47"/>
        <w:rPr>
          <w:lang w:val="fr-FR"/>
        </w:rPr>
      </w:pPr>
      <w:r>
        <w:rPr>
          <w:sz w:val="20"/>
          <w:lang w:val="fr-FR"/>
        </w:rPr>
        <w:t>Le rapport souligne</w:t>
      </w:r>
      <w:r w:rsidR="00981762" w:rsidRPr="00022147">
        <w:rPr>
          <w:sz w:val="20"/>
          <w:lang w:val="fr-FR"/>
        </w:rPr>
        <w:t xml:space="preserve"> l'</w:t>
      </w:r>
      <w:hyperlink r:id="rId88">
        <w:r>
          <w:rPr>
            <w:color w:val="05037E"/>
            <w:sz w:val="20"/>
            <w:u w:val="single" w:color="05037E"/>
            <w:lang w:val="fr-FR"/>
          </w:rPr>
          <w:t>accord de statut entre</w:t>
        </w:r>
        <w:r w:rsidR="00981762" w:rsidRPr="00022147">
          <w:rPr>
            <w:color w:val="05037E"/>
            <w:sz w:val="20"/>
            <w:u w:val="single" w:color="05037E"/>
            <w:lang w:val="fr-FR"/>
          </w:rPr>
          <w:t xml:space="preserve"> </w:t>
        </w:r>
      </w:hyperlink>
      <w:r>
        <w:rPr>
          <w:sz w:val="20"/>
          <w:lang w:val="fr-FR"/>
        </w:rPr>
        <w:t xml:space="preserve">Frontex et l'Albanie, </w:t>
      </w:r>
      <w:r w:rsidR="00981762" w:rsidRPr="00022147">
        <w:rPr>
          <w:sz w:val="20"/>
          <w:lang w:val="fr-FR"/>
        </w:rPr>
        <w:t>approuvé en septembre 2023</w:t>
      </w:r>
      <w:r>
        <w:rPr>
          <w:sz w:val="20"/>
          <w:lang w:val="fr-FR"/>
        </w:rPr>
        <w:t xml:space="preserve">, </w:t>
      </w:r>
      <w:r w:rsidR="00981762" w:rsidRPr="00022147">
        <w:rPr>
          <w:sz w:val="20"/>
          <w:lang w:val="fr-FR"/>
        </w:rPr>
        <w:t xml:space="preserve"> </w:t>
      </w:r>
      <w:r w:rsidRPr="00C1228E">
        <w:rPr>
          <w:sz w:val="20"/>
          <w:lang w:val="fr-FR"/>
        </w:rPr>
        <w:t>qui renforce et remplace l’accord initial de 2019</w:t>
      </w:r>
      <w:r>
        <w:rPr>
          <w:sz w:val="20"/>
          <w:lang w:val="fr-FR"/>
        </w:rPr>
        <w:t xml:space="preserve">. </w:t>
      </w:r>
      <w:r w:rsidRPr="00C1228E">
        <w:rPr>
          <w:sz w:val="20"/>
          <w:lang w:val="fr-FR"/>
        </w:rPr>
        <w:t>Ce nouvel accord autorise le déploiement d’agents du</w:t>
      </w:r>
      <w:r>
        <w:rPr>
          <w:sz w:val="20"/>
          <w:lang w:val="fr-FR"/>
        </w:rPr>
        <w:t xml:space="preserve"> corps permanent de Frontex </w:t>
      </w:r>
      <w:r w:rsidR="00981762" w:rsidRPr="00022147">
        <w:rPr>
          <w:sz w:val="20"/>
          <w:lang w:val="fr-FR"/>
        </w:rPr>
        <w:t xml:space="preserve"> </w:t>
      </w:r>
      <w:hyperlink r:id="rId89">
        <w:r>
          <w:rPr>
            <w:color w:val="05037E"/>
            <w:sz w:val="20"/>
            <w:u w:val="single" w:color="05037E"/>
            <w:lang w:val="fr-FR"/>
          </w:rPr>
          <w:t xml:space="preserve">aux frontières albanaises </w:t>
        </w:r>
        <w:r w:rsidR="00981762" w:rsidRPr="00022147">
          <w:rPr>
            <w:color w:val="05037E"/>
            <w:sz w:val="20"/>
            <w:u w:val="single" w:color="05037E"/>
            <w:lang w:val="fr-FR"/>
          </w:rPr>
          <w:t xml:space="preserve"> </w:t>
        </w:r>
      </w:hyperlink>
      <w:r w:rsidR="00981762" w:rsidRPr="00022147">
        <w:rPr>
          <w:sz w:val="20"/>
          <w:lang w:val="fr-FR"/>
        </w:rPr>
        <w:t xml:space="preserve">avec </w:t>
      </w:r>
      <w:r w:rsidRPr="00C1228E">
        <w:rPr>
          <w:sz w:val="20"/>
          <w:lang w:val="fr-FR"/>
        </w:rPr>
        <w:t>tout pays voisin, alors qu’auparavant, leur action était limitée à la frontière avec la Grèce, en raison de son statut d’État membre de l’UE</w:t>
      </w:r>
      <w:r>
        <w:rPr>
          <w:sz w:val="20"/>
          <w:lang w:val="fr-FR"/>
        </w:rPr>
        <w:t>.</w:t>
      </w:r>
    </w:p>
    <w:p w14:paraId="4F7AB965" w14:textId="18ED4269" w:rsidR="00C1228E" w:rsidRPr="00A71469" w:rsidRDefault="00C1228E" w:rsidP="00A71469">
      <w:pPr>
        <w:pStyle w:val="BodyText"/>
        <w:spacing w:before="119" w:line="288" w:lineRule="auto"/>
        <w:ind w:right="168"/>
        <w:rPr>
          <w:lang w:val="fr-FR"/>
        </w:rPr>
      </w:pPr>
      <w:r>
        <w:rPr>
          <w:sz w:val="20"/>
          <w:lang w:val="fr-FR"/>
        </w:rPr>
        <w:t>Cependant, la coopération entre Frontex et</w:t>
      </w:r>
      <w:r w:rsidR="00981762" w:rsidRPr="00022147">
        <w:rPr>
          <w:sz w:val="20"/>
          <w:lang w:val="fr-FR"/>
        </w:rPr>
        <w:t xml:space="preserve"> l'Albanie </w:t>
      </w:r>
      <w:hyperlink r:id="rId90">
        <w:r>
          <w:rPr>
            <w:color w:val="05037E"/>
            <w:sz w:val="20"/>
            <w:u w:val="single" w:color="05037E"/>
            <w:lang w:val="fr-FR"/>
          </w:rPr>
          <w:t>a été fortement critiqu</w:t>
        </w:r>
        <w:r w:rsidR="00981762" w:rsidRPr="00022147">
          <w:rPr>
            <w:color w:val="05037E"/>
            <w:sz w:val="20"/>
            <w:u w:val="single" w:color="05037E"/>
            <w:lang w:val="fr-FR"/>
          </w:rPr>
          <w:t xml:space="preserve">ée </w:t>
        </w:r>
      </w:hyperlink>
      <w:r>
        <w:rPr>
          <w:color w:val="05037E"/>
          <w:sz w:val="20"/>
          <w:u w:val="single" w:color="05037E"/>
          <w:lang w:val="fr-FR"/>
        </w:rPr>
        <w:t>.</w:t>
      </w:r>
      <w:r w:rsidR="00981762" w:rsidRPr="00022147">
        <w:rPr>
          <w:sz w:val="20"/>
          <w:lang w:val="fr-FR"/>
        </w:rPr>
        <w:t xml:space="preserve"> </w:t>
      </w:r>
      <w:r w:rsidRPr="00C1228E">
        <w:rPr>
          <w:sz w:val="20"/>
          <w:lang w:val="fr-FR"/>
        </w:rPr>
        <w:t>Le Border Violence Monitoring Network a documenté des violences et des refoulements à la frontière gréco-albanaise, mettant en cause le respect des droits humains dans ces opérations.</w:t>
      </w:r>
    </w:p>
    <w:p w14:paraId="6E5372AD" w14:textId="6BEF7D47" w:rsidR="0099685F" w:rsidRPr="00022147" w:rsidRDefault="00981762">
      <w:pPr>
        <w:pStyle w:val="BodyText"/>
        <w:spacing w:line="288" w:lineRule="auto"/>
        <w:ind w:right="72"/>
        <w:rPr>
          <w:lang w:val="fr-FR"/>
        </w:rPr>
      </w:pPr>
      <w:r w:rsidRPr="00022147">
        <w:rPr>
          <w:sz w:val="20"/>
          <w:lang w:val="fr-FR"/>
        </w:rPr>
        <w:t xml:space="preserve">Un </w:t>
      </w:r>
      <w:hyperlink r:id="rId91">
        <w:r w:rsidRPr="00022147">
          <w:rPr>
            <w:color w:val="05037E"/>
            <w:sz w:val="20"/>
            <w:u w:val="single" w:color="05037E"/>
            <w:lang w:val="fr-FR"/>
          </w:rPr>
          <w:t xml:space="preserve">protocole d'accord </w:t>
        </w:r>
      </w:hyperlink>
      <w:r w:rsidRPr="00022147">
        <w:rPr>
          <w:sz w:val="20"/>
          <w:lang w:val="fr-FR"/>
        </w:rPr>
        <w:t>entre Frontex et le médiateur albanais (</w:t>
      </w:r>
      <w:proofErr w:type="spellStart"/>
      <w:r w:rsidRPr="00022147">
        <w:rPr>
          <w:i/>
          <w:sz w:val="20"/>
          <w:lang w:val="fr-FR"/>
        </w:rPr>
        <w:t>Avokati</w:t>
      </w:r>
      <w:proofErr w:type="spellEnd"/>
      <w:r w:rsidRPr="00022147">
        <w:rPr>
          <w:i/>
          <w:sz w:val="20"/>
          <w:lang w:val="fr-FR"/>
        </w:rPr>
        <w:t xml:space="preserve"> i </w:t>
      </w:r>
      <w:proofErr w:type="spellStart"/>
      <w:r w:rsidRPr="00022147">
        <w:rPr>
          <w:i/>
          <w:sz w:val="20"/>
          <w:lang w:val="fr-FR"/>
        </w:rPr>
        <w:t>Popullit</w:t>
      </w:r>
      <w:proofErr w:type="spellEnd"/>
      <w:r w:rsidR="00A71469">
        <w:rPr>
          <w:sz w:val="20"/>
          <w:lang w:val="fr-FR"/>
        </w:rPr>
        <w:t xml:space="preserve">) a été signé en 2022, </w:t>
      </w:r>
      <w:r w:rsidRPr="00022147">
        <w:rPr>
          <w:sz w:val="20"/>
          <w:lang w:val="fr-FR"/>
        </w:rPr>
        <w:t>établi</w:t>
      </w:r>
      <w:r w:rsidR="00A71469">
        <w:rPr>
          <w:sz w:val="20"/>
          <w:lang w:val="fr-FR"/>
        </w:rPr>
        <w:t>ssan</w:t>
      </w:r>
      <w:r w:rsidRPr="00022147">
        <w:rPr>
          <w:sz w:val="20"/>
          <w:lang w:val="fr-FR"/>
        </w:rPr>
        <w:t>t un mécanisme de plainte pour les o</w:t>
      </w:r>
      <w:r w:rsidR="00A71469">
        <w:rPr>
          <w:sz w:val="20"/>
          <w:lang w:val="fr-FR"/>
        </w:rPr>
        <w:t>pérations conjointes menées</w:t>
      </w:r>
      <w:r w:rsidRPr="00022147">
        <w:rPr>
          <w:sz w:val="20"/>
          <w:lang w:val="fr-FR"/>
        </w:rPr>
        <w:t xml:space="preserve"> avec les garde</w:t>
      </w:r>
      <w:r w:rsidR="00A71469">
        <w:rPr>
          <w:sz w:val="20"/>
          <w:lang w:val="fr-FR"/>
        </w:rPr>
        <w:t>s-frontières albanais. Cependant, ce mécanisme partage</w:t>
      </w:r>
      <w:r w:rsidRPr="00022147">
        <w:rPr>
          <w:sz w:val="20"/>
          <w:lang w:val="fr-FR"/>
        </w:rPr>
        <w:t xml:space="preserve"> les responsabilités entre l</w:t>
      </w:r>
      <w:r w:rsidR="00A71469">
        <w:rPr>
          <w:sz w:val="20"/>
          <w:lang w:val="fr-FR"/>
        </w:rPr>
        <w:t>es deux parties, ce qui contredit l</w:t>
      </w:r>
      <w:r w:rsidRPr="00022147">
        <w:rPr>
          <w:sz w:val="20"/>
          <w:lang w:val="fr-FR"/>
        </w:rPr>
        <w:t xml:space="preserve">es </w:t>
      </w:r>
      <w:hyperlink r:id="rId92">
        <w:r w:rsidRPr="00022147">
          <w:rPr>
            <w:color w:val="05037E"/>
            <w:sz w:val="20"/>
            <w:u w:val="single" w:color="05037E"/>
            <w:lang w:val="fr-FR"/>
          </w:rPr>
          <w:t>recommandations du Médiateur européen</w:t>
        </w:r>
      </w:hyperlink>
      <w:r w:rsidRPr="00022147">
        <w:rPr>
          <w:sz w:val="20"/>
          <w:lang w:val="fr-FR"/>
        </w:rPr>
        <w:t xml:space="preserve">, </w:t>
      </w:r>
      <w:r w:rsidR="00A71469" w:rsidRPr="00A71469">
        <w:rPr>
          <w:sz w:val="20"/>
          <w:lang w:val="fr-FR"/>
        </w:rPr>
        <w:t>selon lesquelles une telle répartition complexifie la procédure et entrave la responsabilité en cas de violations des droits</w:t>
      </w:r>
      <w:r w:rsidR="00A71469">
        <w:rPr>
          <w:sz w:val="20"/>
          <w:lang w:val="fr-FR"/>
        </w:rPr>
        <w:t>.</w:t>
      </w:r>
    </w:p>
    <w:p w14:paraId="1B78D59F" w14:textId="2C4EEC2A" w:rsidR="00A71469" w:rsidRDefault="00981762">
      <w:pPr>
        <w:pStyle w:val="BodyText"/>
        <w:spacing w:line="288" w:lineRule="auto"/>
        <w:ind w:right="168"/>
        <w:rPr>
          <w:sz w:val="20"/>
          <w:lang w:val="fr-FR"/>
        </w:rPr>
      </w:pPr>
      <w:r w:rsidRPr="00022147">
        <w:rPr>
          <w:sz w:val="20"/>
          <w:lang w:val="fr-FR"/>
        </w:rPr>
        <w:t>La</w:t>
      </w:r>
      <w:r w:rsidR="00A71469">
        <w:rPr>
          <w:sz w:val="20"/>
          <w:lang w:val="fr-FR"/>
        </w:rPr>
        <w:t xml:space="preserve"> Frontex décision de d'ignorer c</w:t>
      </w:r>
      <w:r w:rsidRPr="00022147">
        <w:rPr>
          <w:sz w:val="20"/>
          <w:lang w:val="fr-FR"/>
        </w:rPr>
        <w:t>es recommandations du Médi</w:t>
      </w:r>
      <w:r w:rsidR="00A71469">
        <w:rPr>
          <w:sz w:val="20"/>
          <w:lang w:val="fr-FR"/>
        </w:rPr>
        <w:t xml:space="preserve">ateur reflète des inquiétudes plus larges quant à </w:t>
      </w:r>
      <w:r w:rsidRPr="00022147">
        <w:rPr>
          <w:sz w:val="20"/>
          <w:lang w:val="fr-FR"/>
        </w:rPr>
        <w:t xml:space="preserve">l'élargissement de son </w:t>
      </w:r>
      <w:hyperlink r:id="rId93">
        <w:r w:rsidRPr="00022147">
          <w:rPr>
            <w:color w:val="05037E"/>
            <w:sz w:val="20"/>
            <w:u w:val="single" w:color="05037E"/>
            <w:lang w:val="fr-FR"/>
          </w:rPr>
          <w:t xml:space="preserve">mandat </w:t>
        </w:r>
      </w:hyperlink>
      <w:r w:rsidRPr="00022147">
        <w:rPr>
          <w:sz w:val="20"/>
          <w:lang w:val="fr-FR"/>
        </w:rPr>
        <w:t xml:space="preserve">et de ses </w:t>
      </w:r>
      <w:hyperlink r:id="rId94">
        <w:r w:rsidRPr="00022147">
          <w:rPr>
            <w:color w:val="05037E"/>
            <w:sz w:val="20"/>
            <w:u w:val="single" w:color="05037E"/>
            <w:lang w:val="fr-FR"/>
          </w:rPr>
          <w:t>pouvoirs</w:t>
        </w:r>
      </w:hyperlink>
      <w:r w:rsidRPr="00022147">
        <w:rPr>
          <w:sz w:val="20"/>
          <w:lang w:val="fr-FR"/>
        </w:rPr>
        <w:t>, qui ne sont pas</w:t>
      </w:r>
      <w:r w:rsidR="00A71469">
        <w:rPr>
          <w:sz w:val="20"/>
          <w:lang w:val="fr-FR"/>
        </w:rPr>
        <w:t xml:space="preserve"> suffisamment encadrés par</w:t>
      </w:r>
      <w:r w:rsidRPr="00022147">
        <w:rPr>
          <w:sz w:val="20"/>
          <w:lang w:val="fr-FR"/>
        </w:rPr>
        <w:t xml:space="preserve"> des garanties nécessaires</w:t>
      </w:r>
      <w:r w:rsidR="004F7365">
        <w:rPr>
          <w:sz w:val="20"/>
          <w:lang w:val="fr-FR"/>
        </w:rPr>
        <w:t xml:space="preserve"> </w:t>
      </w:r>
      <w:r w:rsidR="004F7365" w:rsidRPr="004F7365">
        <w:rPr>
          <w:sz w:val="20"/>
          <w:lang w:val="fr-FR"/>
        </w:rPr>
        <w:t>en matière de droits humains et de droits fondamentaux.</w:t>
      </w:r>
      <w:r w:rsidRPr="00022147">
        <w:rPr>
          <w:sz w:val="20"/>
          <w:lang w:val="fr-FR"/>
        </w:rPr>
        <w:t xml:space="preserve"> </w:t>
      </w:r>
    </w:p>
    <w:p w14:paraId="03F0E9D7" w14:textId="72CB7537" w:rsidR="004F7365" w:rsidRDefault="004F7365" w:rsidP="004F7365">
      <w:pPr>
        <w:pStyle w:val="BodyText"/>
        <w:spacing w:line="288" w:lineRule="auto"/>
        <w:ind w:right="168"/>
        <w:rPr>
          <w:sz w:val="20"/>
          <w:lang w:val="fr-FR"/>
        </w:rPr>
      </w:pPr>
      <w:r w:rsidRPr="004F7365">
        <w:rPr>
          <w:sz w:val="20"/>
          <w:lang w:val="fr-FR"/>
        </w:rPr>
        <w:t>Les liens croissants entre Frontex et les pays en phase de préadhésion sont illustrés par une opération menée en Moldavie, citée à plus</w:t>
      </w:r>
      <w:r>
        <w:rPr>
          <w:sz w:val="20"/>
          <w:lang w:val="fr-FR"/>
        </w:rPr>
        <w:t xml:space="preserve">ieurs reprises dans le rapport. </w:t>
      </w:r>
      <w:r w:rsidRPr="004F7365">
        <w:rPr>
          <w:sz w:val="20"/>
          <w:lang w:val="fr-FR"/>
        </w:rPr>
        <w:t>Pour la première fois dans un pays non membre de l’UE, des agents du corps permanent de Frontex ont pu accéder aux bases de données nationales moldaves et vérifier les passeports des voyageurs.</w:t>
      </w:r>
    </w:p>
    <w:p w14:paraId="788BC7B9" w14:textId="15EEAA7A" w:rsidR="0099685F" w:rsidRPr="004F7365" w:rsidRDefault="004F7365">
      <w:pPr>
        <w:pStyle w:val="BodyText"/>
        <w:spacing w:before="121" w:line="288" w:lineRule="auto"/>
        <w:rPr>
          <w:lang w:val="fr-FR"/>
        </w:rPr>
      </w:pPr>
      <w:r w:rsidRPr="004F7365">
        <w:rPr>
          <w:sz w:val="20"/>
          <w:lang w:val="fr-FR"/>
        </w:rPr>
        <w:t>L’accord entre l’UE et la Moldavie découle directement de l’invasion russe de l’Ukraine, utilisée par l’UE pour étendre de façon significative le mandat de Frontex en Moldavie et en Ukraine</w:t>
      </w:r>
      <w:r>
        <w:rPr>
          <w:sz w:val="20"/>
          <w:lang w:val="fr-FR"/>
        </w:rPr>
        <w:t>. Comme l’</w:t>
      </w:r>
      <w:hyperlink r:id="rId95">
        <w:r>
          <w:rPr>
            <w:color w:val="05037E"/>
            <w:sz w:val="20"/>
            <w:u w:val="single" w:color="05037E"/>
            <w:lang w:val="fr-FR"/>
          </w:rPr>
          <w:t xml:space="preserve">a souligné </w:t>
        </w:r>
        <w:r w:rsidR="00981762" w:rsidRPr="00022147">
          <w:rPr>
            <w:color w:val="05037E"/>
            <w:sz w:val="20"/>
            <w:u w:val="single" w:color="05037E"/>
            <w:lang w:val="fr-FR"/>
          </w:rPr>
          <w:t xml:space="preserve">le </w:t>
        </w:r>
      </w:hyperlink>
      <w:r w:rsidR="00981762" w:rsidRPr="00022147">
        <w:rPr>
          <w:i/>
          <w:sz w:val="20"/>
          <w:lang w:val="fr-FR"/>
        </w:rPr>
        <w:t>Transnational Institute</w:t>
      </w:r>
      <w:r>
        <w:rPr>
          <w:i/>
          <w:sz w:val="20"/>
          <w:lang w:val="fr-FR"/>
        </w:rPr>
        <w:t xml:space="preserve"> : </w:t>
      </w:r>
    </w:p>
    <w:p w14:paraId="2579FA39" w14:textId="6EA64AE2" w:rsidR="0099685F" w:rsidRPr="00022147" w:rsidRDefault="004F7365">
      <w:pPr>
        <w:pStyle w:val="BodyText"/>
        <w:spacing w:line="288" w:lineRule="auto"/>
        <w:rPr>
          <w:lang w:val="fr-FR"/>
        </w:rPr>
        <w:sectPr w:rsidR="0099685F" w:rsidRPr="00022147">
          <w:pgSz w:w="11910" w:h="16840"/>
          <w:pgMar w:top="1760" w:right="1417" w:bottom="1960" w:left="1275" w:header="0" w:footer="1766" w:gutter="0"/>
          <w:cols w:space="708"/>
        </w:sectPr>
      </w:pPr>
      <w:r w:rsidRPr="004F7365">
        <w:rPr>
          <w:lang w:val="fr-FR"/>
        </w:rPr>
        <w:t>« Les priorités sont claires : conclure des accords, même en pleine guerre, qui garantissent le maintien du statu quo aux frontières extérieures de l’UE, q</w:t>
      </w:r>
      <w:r w:rsidR="00130C5E">
        <w:rPr>
          <w:lang w:val="fr-FR"/>
        </w:rPr>
        <w:t>uel qu’en soit le coût humain. »</w:t>
      </w:r>
    </w:p>
    <w:p w14:paraId="44308BE9" w14:textId="77777777" w:rsidR="004F7365" w:rsidRDefault="004F7365" w:rsidP="00130C5E">
      <w:pPr>
        <w:pStyle w:val="BodyText"/>
        <w:spacing w:before="79" w:line="288" w:lineRule="auto"/>
        <w:ind w:left="0" w:right="34"/>
        <w:rPr>
          <w:sz w:val="20"/>
          <w:lang w:val="fr-FR"/>
        </w:rPr>
      </w:pPr>
    </w:p>
    <w:p w14:paraId="5381137B" w14:textId="4D54CD30" w:rsidR="0099685F" w:rsidRPr="00022147" w:rsidRDefault="00981762">
      <w:pPr>
        <w:pStyle w:val="BodyText"/>
        <w:spacing w:before="79" w:line="288" w:lineRule="auto"/>
        <w:ind w:right="34"/>
        <w:rPr>
          <w:lang w:val="fr-FR"/>
        </w:rPr>
      </w:pPr>
      <w:r w:rsidRPr="00022147">
        <w:rPr>
          <w:sz w:val="20"/>
          <w:lang w:val="fr-FR"/>
        </w:rPr>
        <w:t>La coopération avec le Monténégro</w:t>
      </w:r>
      <w:r w:rsidR="004F7365" w:rsidRPr="004F7365">
        <w:t xml:space="preserve"> </w:t>
      </w:r>
      <w:r w:rsidR="004F7365" w:rsidRPr="004F7365">
        <w:rPr>
          <w:sz w:val="20"/>
          <w:lang w:val="fr-FR"/>
        </w:rPr>
        <w:t>s’est intensifiée</w:t>
      </w:r>
      <w:r w:rsidRPr="004F7365">
        <w:rPr>
          <w:sz w:val="20"/>
          <w:lang w:val="fr-FR"/>
        </w:rPr>
        <w:t xml:space="preserve"> </w:t>
      </w:r>
      <w:r w:rsidRPr="00022147">
        <w:rPr>
          <w:sz w:val="20"/>
          <w:lang w:val="fr-FR"/>
        </w:rPr>
        <w:t xml:space="preserve">en 2023, après la signature d'un accord </w:t>
      </w:r>
      <w:r w:rsidR="00130C5E" w:rsidRPr="00130C5E">
        <w:rPr>
          <w:sz w:val="20"/>
          <w:lang w:val="fr-FR"/>
        </w:rPr>
        <w:t>bilatéral</w:t>
      </w:r>
      <w:r w:rsidRPr="00022147">
        <w:rPr>
          <w:sz w:val="20"/>
          <w:lang w:val="fr-FR"/>
        </w:rPr>
        <w:t>. Outre la surveillance des frontières,</w:t>
      </w:r>
      <w:r w:rsidR="00130C5E" w:rsidRPr="00130C5E">
        <w:t xml:space="preserve"> </w:t>
      </w:r>
      <w:r w:rsidR="00130C5E" w:rsidRPr="00130C5E">
        <w:rPr>
          <w:sz w:val="20"/>
          <w:lang w:val="fr-FR"/>
        </w:rPr>
        <w:t xml:space="preserve">le mandat de Frontex dans le pays inclut désormais des </w:t>
      </w:r>
      <w:r w:rsidR="00130C5E">
        <w:rPr>
          <w:sz w:val="20"/>
          <w:lang w:val="fr-FR"/>
        </w:rPr>
        <w:t>« </w:t>
      </w:r>
      <w:r w:rsidR="00130C5E" w:rsidRPr="00130C5E">
        <w:rPr>
          <w:sz w:val="20"/>
          <w:lang w:val="fr-FR"/>
        </w:rPr>
        <w:t>entretiens de débriefing et de filtrage</w:t>
      </w:r>
      <w:r w:rsidR="00130C5E">
        <w:rPr>
          <w:sz w:val="20"/>
          <w:lang w:val="fr-FR"/>
        </w:rPr>
        <w:t xml:space="preserve"> ». </w:t>
      </w:r>
      <w:r w:rsidR="00130C5E" w:rsidRPr="00130C5E">
        <w:rPr>
          <w:sz w:val="20"/>
          <w:lang w:val="fr-FR"/>
        </w:rPr>
        <w:t>Ces pratiques ont fait l’objet de critiques, notamment parce qu’elles</w:t>
      </w:r>
      <w:r w:rsidRPr="00022147">
        <w:rPr>
          <w:sz w:val="20"/>
          <w:lang w:val="fr-FR"/>
        </w:rPr>
        <w:t xml:space="preserve"> </w:t>
      </w:r>
      <w:hyperlink r:id="rId96">
        <w:r w:rsidRPr="00022147">
          <w:rPr>
            <w:color w:val="05037E"/>
            <w:sz w:val="20"/>
            <w:u w:val="single" w:color="05037E"/>
            <w:lang w:val="fr-FR"/>
          </w:rPr>
          <w:t>cibl</w:t>
        </w:r>
        <w:r w:rsidR="00130C5E">
          <w:rPr>
            <w:color w:val="05037E"/>
            <w:sz w:val="20"/>
            <w:u w:val="single" w:color="05037E"/>
            <w:lang w:val="fr-FR"/>
          </w:rPr>
          <w:t>aient des « </w:t>
        </w:r>
        <w:r w:rsidRPr="00022147">
          <w:rPr>
            <w:color w:val="05037E"/>
            <w:sz w:val="20"/>
            <w:u w:val="single" w:color="05037E"/>
            <w:lang w:val="fr-FR"/>
          </w:rPr>
          <w:t xml:space="preserve">isolées ou </w:t>
        </w:r>
      </w:hyperlink>
      <w:r w:rsidR="00130C5E">
        <w:rPr>
          <w:color w:val="05037E"/>
          <w:sz w:val="20"/>
          <w:u w:val="single" w:color="05037E"/>
          <w:lang w:val="fr-FR"/>
        </w:rPr>
        <w:t>personnes vulnérables »</w:t>
      </w:r>
      <w:r w:rsidR="00130C5E">
        <w:rPr>
          <w:sz w:val="20"/>
          <w:lang w:val="fr-FR"/>
        </w:rPr>
        <w:t>, et que l</w:t>
      </w:r>
      <w:r w:rsidRPr="00022147">
        <w:rPr>
          <w:sz w:val="20"/>
          <w:lang w:val="fr-FR"/>
        </w:rPr>
        <w:t>es données</w:t>
      </w:r>
      <w:r w:rsidR="00130C5E">
        <w:rPr>
          <w:sz w:val="20"/>
          <w:lang w:val="fr-FR"/>
        </w:rPr>
        <w:t xml:space="preserve"> recueillies ont été partagées</w:t>
      </w:r>
      <w:r w:rsidRPr="00022147">
        <w:rPr>
          <w:sz w:val="20"/>
          <w:lang w:val="fr-FR"/>
        </w:rPr>
        <w:t xml:space="preserve"> avec Europol</w:t>
      </w:r>
      <w:r w:rsidR="00130C5E">
        <w:rPr>
          <w:sz w:val="20"/>
          <w:lang w:val="fr-FR"/>
        </w:rPr>
        <w:t>, ce qui a été qualifié de « </w:t>
      </w:r>
      <w:hyperlink r:id="rId97">
        <w:r w:rsidRPr="00022147">
          <w:rPr>
            <w:color w:val="05037E"/>
            <w:sz w:val="20"/>
            <w:u w:val="single" w:color="05037E"/>
            <w:lang w:val="fr-FR"/>
          </w:rPr>
          <w:t>violation grave</w:t>
        </w:r>
      </w:hyperlink>
      <w:r w:rsidR="00130C5E">
        <w:rPr>
          <w:sz w:val="20"/>
          <w:lang w:val="fr-FR"/>
        </w:rPr>
        <w:t> » du droit</w:t>
      </w:r>
      <w:r w:rsidRPr="00022147">
        <w:rPr>
          <w:sz w:val="20"/>
          <w:lang w:val="fr-FR"/>
        </w:rPr>
        <w:t xml:space="preserve">. </w:t>
      </w:r>
      <w:r w:rsidR="00130C5E" w:rsidRPr="00130C5E">
        <w:rPr>
          <w:sz w:val="20"/>
          <w:lang w:val="fr-FR"/>
        </w:rPr>
        <w:t>En réponse, des restrictions strictes ont été imposées quant à l’utilisation et au partage des informations issues de ces entretiens</w:t>
      </w:r>
      <w:r w:rsidR="00130C5E">
        <w:rPr>
          <w:sz w:val="20"/>
          <w:lang w:val="fr-FR"/>
        </w:rPr>
        <w:t>.</w:t>
      </w:r>
    </w:p>
    <w:p w14:paraId="436C31C1" w14:textId="27A682B6" w:rsidR="00130C5E" w:rsidRDefault="00130C5E" w:rsidP="00130C5E">
      <w:pPr>
        <w:pStyle w:val="BodyText"/>
        <w:spacing w:line="288" w:lineRule="auto"/>
        <w:rPr>
          <w:sz w:val="20"/>
          <w:lang w:val="fr-FR"/>
        </w:rPr>
      </w:pPr>
      <w:r w:rsidRPr="00130C5E">
        <w:rPr>
          <w:sz w:val="20"/>
          <w:lang w:val="fr-FR"/>
        </w:rPr>
        <w:t>Le rapport indique qu’en 2023, la Moldavie, le Monténégro et la Macédoine du Nord ont été connectés au système européen de surveil</w:t>
      </w:r>
      <w:r>
        <w:rPr>
          <w:sz w:val="20"/>
          <w:lang w:val="fr-FR"/>
        </w:rPr>
        <w:t xml:space="preserve">lance des frontières (EUROSUR). </w:t>
      </w:r>
      <w:r w:rsidRPr="00130C5E">
        <w:rPr>
          <w:sz w:val="20"/>
          <w:lang w:val="fr-FR"/>
        </w:rPr>
        <w:t>Ce système centralise des données issues de satellites, de la surveillance des frontières et d’autr</w:t>
      </w:r>
      <w:r>
        <w:rPr>
          <w:sz w:val="20"/>
          <w:lang w:val="fr-FR"/>
        </w:rPr>
        <w:t>es sources afin de fournir une « connaissance de la situation »</w:t>
      </w:r>
      <w:r w:rsidRPr="00130C5E">
        <w:rPr>
          <w:sz w:val="20"/>
          <w:lang w:val="fr-FR"/>
        </w:rPr>
        <w:t xml:space="preserve"> aux garde-frontières.</w:t>
      </w:r>
    </w:p>
    <w:p w14:paraId="56DC614D" w14:textId="1526FDCC" w:rsidR="00862EC2" w:rsidRPr="00862EC2" w:rsidRDefault="00862EC2" w:rsidP="00862EC2">
      <w:pPr>
        <w:pStyle w:val="BodyText"/>
        <w:spacing w:line="288" w:lineRule="auto"/>
        <w:ind w:right="154"/>
        <w:rPr>
          <w:lang w:val="fr-FR"/>
        </w:rPr>
      </w:pPr>
      <w:r w:rsidRPr="00862EC2">
        <w:rPr>
          <w:sz w:val="20"/>
          <w:lang w:val="fr-FR"/>
        </w:rPr>
        <w:t>Cependant, le partage de ces données ave</w:t>
      </w:r>
      <w:r>
        <w:rPr>
          <w:sz w:val="20"/>
          <w:lang w:val="fr-FR"/>
        </w:rPr>
        <w:t xml:space="preserve">c des États non membres de </w:t>
      </w:r>
      <w:r w:rsidR="00981762" w:rsidRPr="00022147">
        <w:rPr>
          <w:sz w:val="20"/>
          <w:lang w:val="fr-FR"/>
        </w:rPr>
        <w:t xml:space="preserve">l'UE </w:t>
      </w:r>
      <w:r w:rsidR="00981762" w:rsidRPr="00022147">
        <w:rPr>
          <w:color w:val="05037E"/>
          <w:sz w:val="20"/>
          <w:u w:val="single" w:color="05037E"/>
          <w:lang w:val="fr-FR"/>
        </w:rPr>
        <w:t xml:space="preserve">a été </w:t>
      </w:r>
      <w:r w:rsidRPr="00022147">
        <w:rPr>
          <w:color w:val="05037E"/>
          <w:sz w:val="20"/>
          <w:u w:val="single" w:color="05037E"/>
          <w:lang w:val="fr-FR"/>
        </w:rPr>
        <w:t>critiqué,</w:t>
      </w:r>
      <w:r w:rsidR="00981762" w:rsidRPr="00022147">
        <w:rPr>
          <w:sz w:val="20"/>
          <w:lang w:val="fr-FR"/>
        </w:rPr>
        <w:t xml:space="preserve"> </w:t>
      </w:r>
      <w:r w:rsidRPr="00862EC2">
        <w:rPr>
          <w:sz w:val="20"/>
          <w:lang w:val="fr-FR"/>
        </w:rPr>
        <w:t>car il pourrait faciliter les refoulements : les autorités partenaires, recevant des localisations précises de personnes en mouvement, pourraient les expulser de leur territoire, en violation des droits fondamentaux.</w:t>
      </w:r>
    </w:p>
    <w:p w14:paraId="68320D70" w14:textId="05FD0603" w:rsidR="0099685F" w:rsidRPr="00022147" w:rsidRDefault="00981762">
      <w:pPr>
        <w:pStyle w:val="Heading3"/>
        <w:rPr>
          <w:lang w:val="fr-FR"/>
        </w:rPr>
      </w:pPr>
      <w:r w:rsidRPr="00022147">
        <w:rPr>
          <w:sz w:val="20"/>
          <w:lang w:val="fr-FR"/>
        </w:rPr>
        <w:t xml:space="preserve">Au-delà de l'Europe : la coopération en Afrique et au </w:t>
      </w:r>
      <w:r w:rsidRPr="00022147">
        <w:rPr>
          <w:spacing w:val="-4"/>
          <w:sz w:val="20"/>
          <w:lang w:val="fr-FR"/>
        </w:rPr>
        <w:t>Moyen-Orient</w:t>
      </w:r>
    </w:p>
    <w:p w14:paraId="28A1DF05" w14:textId="04B9EB2C" w:rsidR="00862EC2" w:rsidRPr="008B089D" w:rsidRDefault="00862EC2" w:rsidP="008B089D">
      <w:pPr>
        <w:pStyle w:val="BodyText"/>
        <w:spacing w:before="171" w:line="288" w:lineRule="auto"/>
        <w:rPr>
          <w:lang w:val="fr-FR"/>
        </w:rPr>
      </w:pPr>
      <w:r w:rsidRPr="00862EC2">
        <w:rPr>
          <w:sz w:val="20"/>
          <w:lang w:val="fr-FR"/>
        </w:rPr>
        <w:t xml:space="preserve">En 2023, les activités de coopération de l’UE se sont étendues bien au-delà </w:t>
      </w:r>
      <w:r w:rsidR="00981762" w:rsidRPr="00022147">
        <w:rPr>
          <w:sz w:val="20"/>
          <w:lang w:val="fr-FR"/>
        </w:rPr>
        <w:t xml:space="preserve">de la </w:t>
      </w:r>
      <w:hyperlink r:id="rId98">
        <w:r>
          <w:rPr>
            <w:sz w:val="20"/>
            <w:lang w:val="fr-FR"/>
          </w:rPr>
          <w:t>« </w:t>
        </w:r>
        <w:r w:rsidR="00981762" w:rsidRPr="00022147">
          <w:rPr>
            <w:color w:val="05037E"/>
            <w:sz w:val="20"/>
            <w:u w:val="single" w:color="05037E"/>
            <w:lang w:val="fr-FR"/>
          </w:rPr>
          <w:t>tampon</w:t>
        </w:r>
      </w:hyperlink>
      <w:hyperlink r:id="rId99">
        <w:r>
          <w:rPr>
            <w:color w:val="05037E"/>
            <w:sz w:val="20"/>
            <w:u w:val="single" w:color="05037E"/>
            <w:lang w:val="fr-FR"/>
          </w:rPr>
          <w:t> »</w:t>
        </w:r>
        <w:r w:rsidR="00981762" w:rsidRPr="00022147">
          <w:rPr>
            <w:sz w:val="20"/>
            <w:lang w:val="fr-FR"/>
          </w:rPr>
          <w:t xml:space="preserve"> </w:t>
        </w:r>
      </w:hyperlink>
      <w:r>
        <w:rPr>
          <w:sz w:val="20"/>
          <w:lang w:val="fr-FR"/>
        </w:rPr>
        <w:t>immédiate de l'UE des Balkans et de</w:t>
      </w:r>
      <w:r w:rsidR="00981762" w:rsidRPr="00022147">
        <w:rPr>
          <w:sz w:val="20"/>
          <w:lang w:val="fr-FR"/>
        </w:rPr>
        <w:t xml:space="preserve"> Europe de l'Est. </w:t>
      </w:r>
      <w:r w:rsidRPr="00862EC2">
        <w:rPr>
          <w:sz w:val="20"/>
          <w:lang w:val="fr-FR"/>
        </w:rPr>
        <w:t>Des équipements techniques ont été fournis à plusieurs États africains, et de nombreuses sessions de formation ont été organisées</w:t>
      </w:r>
      <w:r>
        <w:rPr>
          <w:sz w:val="20"/>
          <w:lang w:val="fr-FR"/>
        </w:rPr>
        <w:t>.</w:t>
      </w:r>
    </w:p>
    <w:p w14:paraId="543FF466" w14:textId="4C7B2746" w:rsidR="0099685F" w:rsidRPr="00022147" w:rsidRDefault="00862EC2">
      <w:pPr>
        <w:pStyle w:val="BodyText"/>
        <w:spacing w:before="118" w:line="288" w:lineRule="auto"/>
        <w:rPr>
          <w:lang w:val="fr-FR"/>
        </w:rPr>
      </w:pPr>
      <w:r w:rsidRPr="00862EC2">
        <w:rPr>
          <w:sz w:val="20"/>
          <w:lang w:val="fr-FR"/>
        </w:rPr>
        <w:t>Le rôle croissant de Frontex en Afrique suscite des inquiétudes parmi les universitaires et les activistes. Il s’inscrit dans des politiques plus larges de l’UE, incluant la fourniture de fonds et d’équipements, qui rendent l’accès sûr à l’Europe de plus en plus difficile pour les migrants originaires d’Afrique du Nord</w:t>
      </w:r>
      <w:r w:rsidR="008B089D">
        <w:rPr>
          <w:sz w:val="20"/>
          <w:lang w:val="fr-FR"/>
        </w:rPr>
        <w:t>. Selon un récent</w:t>
      </w:r>
      <w:r w:rsidR="00981762" w:rsidRPr="00022147">
        <w:rPr>
          <w:sz w:val="20"/>
          <w:lang w:val="fr-FR"/>
        </w:rPr>
        <w:t xml:space="preserve"> </w:t>
      </w:r>
      <w:hyperlink r:id="rId100">
        <w:r w:rsidR="00981762" w:rsidRPr="00022147">
          <w:rPr>
            <w:color w:val="05037E"/>
            <w:sz w:val="20"/>
            <w:u w:val="single" w:color="05037E"/>
            <w:lang w:val="fr-FR"/>
          </w:rPr>
          <w:t xml:space="preserve">rapport </w:t>
        </w:r>
        <w:r w:rsidR="008B089D">
          <w:rPr>
            <w:color w:val="05037E"/>
            <w:sz w:val="20"/>
            <w:u w:val="single" w:color="05037E"/>
            <w:lang w:val="fr-FR"/>
          </w:rPr>
          <w:t xml:space="preserve">de </w:t>
        </w:r>
        <w:r w:rsidR="00981762" w:rsidRPr="00022147">
          <w:rPr>
            <w:i/>
            <w:color w:val="05037E"/>
            <w:sz w:val="20"/>
            <w:u w:val="single" w:color="05037E"/>
            <w:lang w:val="fr-FR"/>
          </w:rPr>
          <w:t>Médecins Sans Frontières</w:t>
        </w:r>
      </w:hyperlink>
      <w:r w:rsidR="00981762" w:rsidRPr="00022147">
        <w:rPr>
          <w:sz w:val="20"/>
          <w:lang w:val="fr-FR"/>
        </w:rPr>
        <w:t xml:space="preserve">, les </w:t>
      </w:r>
      <w:proofErr w:type="spellStart"/>
      <w:r w:rsidR="008B089D" w:rsidRPr="008B089D">
        <w:rPr>
          <w:sz w:val="20"/>
          <w:lang w:val="fr-FR"/>
        </w:rPr>
        <w:t>les</w:t>
      </w:r>
      <w:proofErr w:type="spellEnd"/>
      <w:r w:rsidR="008B089D" w:rsidRPr="008B089D">
        <w:rPr>
          <w:sz w:val="20"/>
          <w:lang w:val="fr-FR"/>
        </w:rPr>
        <w:t xml:space="preserve"> pratiques d’externalisation de l’UE ont violemment piégé des personnes en quête de protection, notamment en provenance d’Afrique, du Moyen-Orient et d’Asie.</w:t>
      </w:r>
    </w:p>
    <w:p w14:paraId="348FD3A2" w14:textId="279A3CB4" w:rsidR="0099685F" w:rsidRPr="00022147" w:rsidRDefault="008B089D">
      <w:pPr>
        <w:pStyle w:val="BodyText"/>
        <w:spacing w:before="121" w:line="288" w:lineRule="auto"/>
        <w:rPr>
          <w:lang w:val="fr-FR"/>
        </w:rPr>
      </w:pPr>
      <w:r w:rsidRPr="008B089D">
        <w:rPr>
          <w:sz w:val="20"/>
          <w:lang w:val="fr-FR"/>
        </w:rPr>
        <w:t xml:space="preserve">La Communauté de renseignement Afrique–Frontex (AFIC) a été créée en 2010 pour renforcer le partage d’informations </w:t>
      </w:r>
      <w:hyperlink r:id="rId101">
        <w:r>
          <w:rPr>
            <w:color w:val="05037E"/>
            <w:sz w:val="20"/>
            <w:u w:val="single" w:color="05037E"/>
            <w:lang w:val="fr-FR"/>
          </w:rPr>
          <w:t>entre Frontex et trentaine</w:t>
        </w:r>
        <w:r w:rsidR="00981762" w:rsidRPr="00022147">
          <w:rPr>
            <w:color w:val="05037E"/>
            <w:sz w:val="20"/>
            <w:u w:val="single" w:color="05037E"/>
            <w:lang w:val="fr-FR"/>
          </w:rPr>
          <w:t xml:space="preserve"> </w:t>
        </w:r>
        <w:r>
          <w:rPr>
            <w:color w:val="05037E"/>
            <w:sz w:val="20"/>
            <w:u w:val="single" w:color="05037E"/>
            <w:lang w:val="fr-FR"/>
          </w:rPr>
          <w:t>d’</w:t>
        </w:r>
        <w:r w:rsidR="00981762" w:rsidRPr="00022147">
          <w:rPr>
            <w:color w:val="05037E"/>
            <w:sz w:val="20"/>
            <w:u w:val="single" w:color="05037E"/>
            <w:lang w:val="fr-FR"/>
          </w:rPr>
          <w:t>États africains</w:t>
        </w:r>
      </w:hyperlink>
      <w:r w:rsidR="00981762" w:rsidRPr="00022147">
        <w:rPr>
          <w:sz w:val="20"/>
          <w:lang w:val="fr-FR"/>
        </w:rPr>
        <w:t xml:space="preserve">. </w:t>
      </w:r>
      <w:r w:rsidRPr="008B089D">
        <w:rPr>
          <w:sz w:val="20"/>
          <w:lang w:val="fr-FR"/>
        </w:rPr>
        <w:t>Cependant, l’agence ne dispose d’aucun accord de coopération formel avec la grande majorité de ces pays</w:t>
      </w:r>
      <w:r>
        <w:rPr>
          <w:sz w:val="20"/>
          <w:lang w:val="fr-FR"/>
        </w:rPr>
        <w:t xml:space="preserve">. </w:t>
      </w:r>
    </w:p>
    <w:p w14:paraId="0CB6BAE2" w14:textId="0CB6F80E" w:rsidR="0099685F" w:rsidRPr="00022147" w:rsidRDefault="008B089D">
      <w:pPr>
        <w:pStyle w:val="BodyText"/>
        <w:spacing w:line="288" w:lineRule="auto"/>
        <w:rPr>
          <w:lang w:val="fr-FR"/>
        </w:rPr>
      </w:pPr>
      <w:r w:rsidRPr="008B089D">
        <w:rPr>
          <w:sz w:val="20"/>
          <w:lang w:val="fr-FR"/>
        </w:rPr>
        <w:t xml:space="preserve">En février 2023, s’est achevé un projet de six ans visant à renforcer les capacités des États membres de l’AFIC pour </w:t>
      </w:r>
      <w:r>
        <w:rPr>
          <w:sz w:val="20"/>
          <w:lang w:val="fr-FR"/>
        </w:rPr>
        <w:t>« </w:t>
      </w:r>
      <w:hyperlink r:id="rId102">
        <w:r>
          <w:rPr>
            <w:color w:val="05037E"/>
            <w:sz w:val="20"/>
            <w:u w:val="single" w:color="05037E"/>
            <w:lang w:val="fr-FR"/>
          </w:rPr>
          <w:t>lutter contre les</w:t>
        </w:r>
        <w:r w:rsidR="00981762" w:rsidRPr="00022147">
          <w:rPr>
            <w:color w:val="05037E"/>
            <w:sz w:val="20"/>
            <w:u w:val="single" w:color="05037E"/>
            <w:lang w:val="fr-FR"/>
          </w:rPr>
          <w:t xml:space="preserve"> </w:t>
        </w:r>
      </w:hyperlink>
      <w:hyperlink r:id="rId103">
        <w:r w:rsidR="00981762" w:rsidRPr="00022147">
          <w:rPr>
            <w:color w:val="05037E"/>
            <w:sz w:val="20"/>
            <w:u w:val="single" w:color="05037E"/>
            <w:lang w:val="fr-FR"/>
          </w:rPr>
          <w:t>crimes</w:t>
        </w:r>
        <w:r>
          <w:rPr>
            <w:color w:val="05037E"/>
            <w:sz w:val="20"/>
            <w:u w:val="single" w:color="05037E"/>
            <w:lang w:val="fr-FR"/>
          </w:rPr>
          <w:t xml:space="preserve"> graves</w:t>
        </w:r>
        <w:r w:rsidR="00981762" w:rsidRPr="00022147">
          <w:rPr>
            <w:color w:val="05037E"/>
            <w:sz w:val="20"/>
            <w:u w:val="single" w:color="05037E"/>
            <w:lang w:val="fr-FR"/>
          </w:rPr>
          <w:t xml:space="preserve"> affectant l'Afrique et l'UE</w:t>
        </w:r>
      </w:hyperlink>
      <w:r>
        <w:rPr>
          <w:sz w:val="20"/>
          <w:lang w:val="fr-FR"/>
        </w:rPr>
        <w:t> »</w:t>
      </w:r>
      <w:r w:rsidR="00981762" w:rsidRPr="00022147">
        <w:rPr>
          <w:sz w:val="20"/>
          <w:lang w:val="fr-FR"/>
        </w:rPr>
        <w:t xml:space="preserve">. </w:t>
      </w:r>
      <w:r w:rsidRPr="008B089D">
        <w:rPr>
          <w:sz w:val="20"/>
          <w:lang w:val="fr-FR"/>
        </w:rPr>
        <w:t>Dans ce cadre, Frontex a formé des analystes de la police des frontières dans huit pays de l’AFIC</w:t>
      </w:r>
      <w:r w:rsidR="00CF7516">
        <w:rPr>
          <w:sz w:val="20"/>
          <w:vertAlign w:val="superscript"/>
          <w:lang w:val="fr-FR"/>
        </w:rPr>
        <w:t>1</w:t>
      </w:r>
      <w:r w:rsidRPr="008B089D">
        <w:rPr>
          <w:sz w:val="20"/>
          <w:lang w:val="fr-FR"/>
        </w:rPr>
        <w:t xml:space="preserve"> et a fourni des équipements aux cellules d’analyse des risques (CAR)</w:t>
      </w:r>
      <w:r w:rsidR="00CF7516">
        <w:rPr>
          <w:sz w:val="20"/>
          <w:lang w:val="fr-FR"/>
        </w:rPr>
        <w:t>.</w:t>
      </w:r>
    </w:p>
    <w:p w14:paraId="592C1916" w14:textId="6F74E7A3" w:rsidR="0099685F" w:rsidRPr="00022147" w:rsidRDefault="00CF7516">
      <w:pPr>
        <w:pStyle w:val="BodyText"/>
        <w:spacing w:line="288" w:lineRule="auto"/>
        <w:ind w:right="60"/>
        <w:rPr>
          <w:lang w:val="fr-FR"/>
        </w:rPr>
      </w:pPr>
      <w:r w:rsidRPr="00CF7516">
        <w:rPr>
          <w:sz w:val="20"/>
          <w:lang w:val="fr-FR"/>
        </w:rPr>
        <w:t xml:space="preserve">Cela inclut notamment la fourniture d’un Universal </w:t>
      </w:r>
      <w:proofErr w:type="spellStart"/>
      <w:r w:rsidRPr="00CF7516">
        <w:rPr>
          <w:sz w:val="20"/>
          <w:lang w:val="fr-FR"/>
        </w:rPr>
        <w:t>Forensic</w:t>
      </w:r>
      <w:proofErr w:type="spellEnd"/>
      <w:r w:rsidRPr="00CF7516">
        <w:rPr>
          <w:sz w:val="20"/>
          <w:lang w:val="fr-FR"/>
        </w:rPr>
        <w:t xml:space="preserve"> Extraction </w:t>
      </w:r>
      <w:proofErr w:type="spellStart"/>
      <w:r w:rsidRPr="00CF7516">
        <w:rPr>
          <w:sz w:val="20"/>
          <w:lang w:val="fr-FR"/>
        </w:rPr>
        <w:t>Device</w:t>
      </w:r>
      <w:proofErr w:type="spellEnd"/>
      <w:r w:rsidR="00981762" w:rsidRPr="00022147">
        <w:rPr>
          <w:sz w:val="20"/>
          <w:lang w:val="fr-FR"/>
        </w:rPr>
        <w:t xml:space="preserve">, un </w:t>
      </w:r>
      <w:hyperlink r:id="rId104">
        <w:r w:rsidR="00981762" w:rsidRPr="00022147">
          <w:rPr>
            <w:color w:val="05037E"/>
            <w:sz w:val="20"/>
            <w:u w:val="single" w:color="05037E"/>
            <w:lang w:val="fr-FR"/>
          </w:rPr>
          <w:t xml:space="preserve">outil controversé </w:t>
        </w:r>
      </w:hyperlink>
      <w:r w:rsidR="00981762" w:rsidRPr="00022147">
        <w:rPr>
          <w:sz w:val="20"/>
          <w:lang w:val="fr-FR"/>
        </w:rPr>
        <w:t xml:space="preserve"> </w:t>
      </w:r>
      <w:r>
        <w:rPr>
          <w:sz w:val="20"/>
          <w:lang w:val="fr-FR"/>
        </w:rPr>
        <w:t>«</w:t>
      </w:r>
      <w:r w:rsidRPr="00CF7516">
        <w:rPr>
          <w:sz w:val="20"/>
          <w:lang w:val="fr-FR"/>
        </w:rPr>
        <w:t xml:space="preserve">capable d’extraire les journaux d’appels, photos, localisations GPS et messages WhatsApp de n’importe quel téléphone ». Selon le journaliste Andrei </w:t>
      </w:r>
      <w:proofErr w:type="spellStart"/>
      <w:r w:rsidRPr="00CF7516">
        <w:rPr>
          <w:sz w:val="20"/>
          <w:lang w:val="fr-FR"/>
        </w:rPr>
        <w:t>Popviciu</w:t>
      </w:r>
      <w:proofErr w:type="spellEnd"/>
      <w:r w:rsidRPr="00CF7516">
        <w:rPr>
          <w:sz w:val="20"/>
          <w:lang w:val="fr-FR"/>
        </w:rPr>
        <w:t>, les autorités sénégalaises ont acquis cet équipement grâce au soutien de l’UE, ainsi que d’autres outils de surveillance, tels que : logiciels de reconnaissance faciale et d’empreintes biométriques, drones, serveurs numériques, lunettes de vision nocturne, et autres équipements de sécurité.</w:t>
      </w:r>
    </w:p>
    <w:p w14:paraId="0BCB488C" w14:textId="77777777" w:rsidR="0099685F" w:rsidRPr="00022147" w:rsidRDefault="0099685F">
      <w:pPr>
        <w:pStyle w:val="BodyText"/>
        <w:spacing w:before="0"/>
        <w:ind w:left="0"/>
        <w:rPr>
          <w:sz w:val="20"/>
          <w:lang w:val="fr-FR"/>
        </w:rPr>
      </w:pPr>
    </w:p>
    <w:p w14:paraId="10AAD763" w14:textId="77777777" w:rsidR="0099685F" w:rsidRPr="00022147" w:rsidRDefault="0099685F">
      <w:pPr>
        <w:pStyle w:val="BodyText"/>
        <w:spacing w:before="0"/>
        <w:ind w:left="0"/>
        <w:rPr>
          <w:sz w:val="20"/>
          <w:lang w:val="fr-FR"/>
        </w:rPr>
      </w:pPr>
    </w:p>
    <w:p w14:paraId="0515B11B" w14:textId="77777777" w:rsidR="0099685F" w:rsidRPr="00022147" w:rsidRDefault="0099685F">
      <w:pPr>
        <w:pStyle w:val="BodyText"/>
        <w:spacing w:before="0"/>
        <w:ind w:left="0"/>
        <w:rPr>
          <w:sz w:val="20"/>
          <w:lang w:val="fr-FR"/>
        </w:rPr>
      </w:pPr>
    </w:p>
    <w:p w14:paraId="2C381EDE" w14:textId="77777777" w:rsidR="0099685F" w:rsidRPr="00022147" w:rsidRDefault="00981762">
      <w:pPr>
        <w:pStyle w:val="BodyText"/>
        <w:spacing w:before="103"/>
        <w:ind w:left="0"/>
        <w:rPr>
          <w:sz w:val="20"/>
          <w:lang w:val="fr-FR"/>
        </w:rPr>
      </w:pPr>
      <w:r>
        <w:rPr>
          <w:noProof/>
          <w:sz w:val="20"/>
          <w:lang w:val="fr-FR" w:eastAsia="fr-FR"/>
        </w:rPr>
        <mc:AlternateContent>
          <mc:Choice Requires="wps">
            <w:drawing>
              <wp:anchor distT="0" distB="0" distL="0" distR="0" simplePos="0" relativeHeight="251658240" behindDoc="1" locked="0" layoutInCell="1" allowOverlap="1" wp14:anchorId="6997CFF0" wp14:editId="00112BBE">
                <wp:simplePos x="0" y="0"/>
                <wp:positionH relativeFrom="page">
                  <wp:posOffset>899922</wp:posOffset>
                </wp:positionH>
                <wp:positionV relativeFrom="paragraph">
                  <wp:posOffset>227175</wp:posOffset>
                </wp:positionV>
                <wp:extent cx="1828800" cy="6985"/>
                <wp:effectExtent l="0" t="0" r="0" b="0"/>
                <wp:wrapTopAndBottom/>
                <wp:docPr id="5" name="Graphic 5"/>
                <wp:cNvGraphicFramePr/>
                <a:graphic xmlns:a="http://schemas.openxmlformats.org/drawingml/2006/main">
                  <a:graphicData uri="http://schemas.microsoft.com/office/word/2010/wordprocessingShape">
                    <wps:wsp>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2424085F" id="Graphic 5" o:spid="_x0000_s1026" style="position:absolute;margin-left:70.85pt;margin-top:17.9pt;width:2in;height:.5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" path="m1828800,l,,,6858r1828800,l1828800,xe" fillcolor="black" stroked="f">
                <v:path arrowok="t"/>
                <w10:wrap type="topAndBottom" anchorx="page"/>
              </v:shape>
            </w:pict>
          </mc:Fallback>
        </mc:AlternateContent>
      </w:r>
    </w:p>
    <w:p w14:paraId="0004FE1F" w14:textId="77777777" w:rsidR="0099685F" w:rsidRPr="00022147" w:rsidRDefault="0099685F">
      <w:pPr>
        <w:pStyle w:val="BodyText"/>
        <w:spacing w:before="52"/>
        <w:ind w:left="0"/>
        <w:rPr>
          <w:sz w:val="18"/>
          <w:lang w:val="fr-FR"/>
        </w:rPr>
      </w:pPr>
    </w:p>
    <w:p w14:paraId="5A95AC13" w14:textId="77777777" w:rsidR="0099685F" w:rsidRPr="00022147" w:rsidRDefault="00981762">
      <w:pPr>
        <w:ind w:left="142"/>
        <w:rPr>
          <w:sz w:val="18"/>
          <w:lang w:val="fr-FR"/>
        </w:rPr>
      </w:pPr>
      <w:bookmarkStart w:id="20" w:name="_bookmark8"/>
      <w:bookmarkEnd w:id="20"/>
      <w:r w:rsidRPr="00022147">
        <w:rPr>
          <w:position w:val="6"/>
          <w:sz w:val="11"/>
          <w:lang w:val="fr-FR"/>
        </w:rPr>
        <w:t xml:space="preserve">1 </w:t>
      </w:r>
      <w:r w:rsidRPr="00022147">
        <w:rPr>
          <w:sz w:val="17"/>
          <w:lang w:val="fr-FR"/>
        </w:rPr>
        <w:t>Côte '</w:t>
      </w:r>
      <w:proofErr w:type="spellStart"/>
      <w:r w:rsidRPr="00022147">
        <w:rPr>
          <w:sz w:val="17"/>
          <w:lang w:val="fr-FR"/>
        </w:rPr>
        <w:t>dIvoire</w:t>
      </w:r>
      <w:proofErr w:type="spellEnd"/>
      <w:r w:rsidRPr="00022147">
        <w:rPr>
          <w:sz w:val="17"/>
          <w:lang w:val="fr-FR"/>
        </w:rPr>
        <w:t xml:space="preserve">, Gambie, Ghana, Mauritanie, Niger, Nigeria, Sénégal et </w:t>
      </w:r>
      <w:r w:rsidRPr="00022147">
        <w:rPr>
          <w:spacing w:val="-2"/>
          <w:sz w:val="17"/>
          <w:lang w:val="fr-FR"/>
        </w:rPr>
        <w:t>Togo.</w:t>
      </w:r>
    </w:p>
    <w:p w14:paraId="3AF73350" w14:textId="77777777" w:rsidR="0099685F" w:rsidRPr="00022147" w:rsidRDefault="0099685F">
      <w:pPr>
        <w:rPr>
          <w:sz w:val="18"/>
          <w:lang w:val="fr-FR"/>
        </w:rPr>
        <w:sectPr w:rsidR="0099685F" w:rsidRPr="00022147">
          <w:pgSz w:w="11910" w:h="16840"/>
          <w:pgMar w:top="1320" w:right="1417" w:bottom="1960" w:left="1275" w:header="0" w:footer="1766" w:gutter="0"/>
          <w:cols w:space="708"/>
        </w:sectPr>
      </w:pPr>
    </w:p>
    <w:p w14:paraId="387866AB" w14:textId="5F12B044" w:rsidR="0099685F" w:rsidRPr="00CF7516" w:rsidRDefault="00CF7516" w:rsidP="00CF7516">
      <w:pPr>
        <w:pStyle w:val="BodyText"/>
        <w:spacing w:before="79" w:line="288" w:lineRule="auto"/>
        <w:rPr>
          <w:sz w:val="20"/>
        </w:rPr>
      </w:pPr>
      <w:r w:rsidRPr="00CF7516">
        <w:rPr>
          <w:sz w:val="20"/>
          <w:lang w:val="fr-FR"/>
        </w:rPr>
        <w:lastRenderedPageBreak/>
        <w:t xml:space="preserve">Le projet </w:t>
      </w:r>
      <w:r>
        <w:rPr>
          <w:sz w:val="20"/>
          <w:lang w:val="fr-FR"/>
        </w:rPr>
        <w:t>« </w:t>
      </w:r>
      <w:r w:rsidRPr="00CF7516">
        <w:rPr>
          <w:sz w:val="20"/>
          <w:lang w:val="fr-FR"/>
        </w:rPr>
        <w:t>EU4BorderSecurity</w:t>
      </w:r>
      <w:r>
        <w:rPr>
          <w:sz w:val="20"/>
          <w:lang w:val="fr-FR"/>
        </w:rPr>
        <w:t> »</w:t>
      </w:r>
      <w:r w:rsidRPr="00CF7516">
        <w:rPr>
          <w:sz w:val="20"/>
          <w:lang w:val="fr-FR"/>
        </w:rPr>
        <w:t xml:space="preserve">, piloté par Frontex, vise à </w:t>
      </w:r>
      <w:r>
        <w:rPr>
          <w:sz w:val="20"/>
          <w:lang w:val="fr-FR"/>
        </w:rPr>
        <w:t>« </w:t>
      </w:r>
      <w:r w:rsidRPr="00CF7516">
        <w:rPr>
          <w:sz w:val="20"/>
          <w:lang w:val="fr-FR"/>
        </w:rPr>
        <w:t>renforcer la sécurité des frontières en Afrique du Nord et au Levant</w:t>
      </w:r>
      <w:r>
        <w:rPr>
          <w:sz w:val="20"/>
          <w:lang w:val="fr-FR"/>
        </w:rPr>
        <w:t> »</w:t>
      </w:r>
      <w:r w:rsidRPr="00CF7516">
        <w:rPr>
          <w:sz w:val="20"/>
          <w:lang w:val="fr-FR"/>
        </w:rPr>
        <w:t>, tout en facilitant et souten</w:t>
      </w:r>
      <w:r>
        <w:rPr>
          <w:sz w:val="20"/>
          <w:lang w:val="fr-FR"/>
        </w:rPr>
        <w:t xml:space="preserve">ant les « voyages de bonne foi ». </w:t>
      </w:r>
      <w:r w:rsidRPr="00CF7516">
        <w:rPr>
          <w:sz w:val="20"/>
          <w:lang w:val="fr-FR"/>
        </w:rPr>
        <w:t>Il implique une coopération avec</w:t>
      </w:r>
      <w:r>
        <w:rPr>
          <w:sz w:val="20"/>
          <w:lang w:val="fr-FR"/>
        </w:rPr>
        <w:t> :</w:t>
      </w:r>
    </w:p>
    <w:p w14:paraId="7E078975" w14:textId="3983A321" w:rsidR="0099685F" w:rsidRDefault="00CF7516">
      <w:pPr>
        <w:pStyle w:val="ListParagraph"/>
        <w:numPr>
          <w:ilvl w:val="0"/>
          <w:numId w:val="1"/>
        </w:numPr>
        <w:tabs>
          <w:tab w:val="left" w:pos="862"/>
        </w:tabs>
        <w:spacing w:before="131"/>
      </w:pPr>
      <w:r>
        <w:rPr>
          <w:spacing w:val="-2"/>
          <w:sz w:val="20"/>
        </w:rPr>
        <w:t>Algérie;</w:t>
      </w:r>
    </w:p>
    <w:p w14:paraId="02313775" w14:textId="7890433C" w:rsidR="0099685F" w:rsidRDefault="00CF7516">
      <w:pPr>
        <w:pStyle w:val="ListParagraph"/>
        <w:numPr>
          <w:ilvl w:val="0"/>
          <w:numId w:val="1"/>
        </w:numPr>
        <w:tabs>
          <w:tab w:val="left" w:pos="862"/>
        </w:tabs>
        <w:spacing w:before="170"/>
      </w:pPr>
      <w:proofErr w:type="spellStart"/>
      <w:r>
        <w:rPr>
          <w:spacing w:val="-2"/>
          <w:sz w:val="20"/>
        </w:rPr>
        <w:t>Égypte</w:t>
      </w:r>
      <w:proofErr w:type="spellEnd"/>
      <w:r>
        <w:rPr>
          <w:spacing w:val="-2"/>
          <w:sz w:val="20"/>
        </w:rPr>
        <w:t>;</w:t>
      </w:r>
    </w:p>
    <w:p w14:paraId="352930FD" w14:textId="77777777" w:rsidR="0099685F" w:rsidRDefault="00981762">
      <w:pPr>
        <w:pStyle w:val="ListParagraph"/>
        <w:numPr>
          <w:ilvl w:val="0"/>
          <w:numId w:val="1"/>
        </w:numPr>
        <w:tabs>
          <w:tab w:val="left" w:pos="862"/>
        </w:tabs>
      </w:pPr>
      <w:r>
        <w:rPr>
          <w:spacing w:val="-2"/>
          <w:sz w:val="20"/>
        </w:rPr>
        <w:t>Israël ;</w:t>
      </w:r>
    </w:p>
    <w:p w14:paraId="08491735" w14:textId="38DD6358" w:rsidR="0099685F" w:rsidRDefault="00981762">
      <w:pPr>
        <w:pStyle w:val="ListParagraph"/>
        <w:numPr>
          <w:ilvl w:val="0"/>
          <w:numId w:val="1"/>
        </w:numPr>
        <w:tabs>
          <w:tab w:val="left" w:pos="862"/>
        </w:tabs>
        <w:spacing w:before="171"/>
      </w:pPr>
      <w:r>
        <w:rPr>
          <w:spacing w:val="-2"/>
          <w:sz w:val="20"/>
        </w:rPr>
        <w:t xml:space="preserve">La </w:t>
      </w:r>
      <w:proofErr w:type="spellStart"/>
      <w:r w:rsidR="00CF7516">
        <w:rPr>
          <w:spacing w:val="-2"/>
          <w:sz w:val="20"/>
        </w:rPr>
        <w:t>Jordanie</w:t>
      </w:r>
      <w:proofErr w:type="spellEnd"/>
      <w:r w:rsidR="00CF7516">
        <w:rPr>
          <w:spacing w:val="-2"/>
          <w:sz w:val="20"/>
        </w:rPr>
        <w:t>;</w:t>
      </w:r>
    </w:p>
    <w:p w14:paraId="770C06B2" w14:textId="77777777" w:rsidR="0099685F" w:rsidRDefault="00981762">
      <w:pPr>
        <w:pStyle w:val="ListParagraph"/>
        <w:numPr>
          <w:ilvl w:val="0"/>
          <w:numId w:val="1"/>
        </w:numPr>
        <w:tabs>
          <w:tab w:val="left" w:pos="862"/>
        </w:tabs>
        <w:spacing w:before="170"/>
      </w:pPr>
      <w:r>
        <w:rPr>
          <w:spacing w:val="-2"/>
          <w:sz w:val="20"/>
        </w:rPr>
        <w:t>Liban ;</w:t>
      </w:r>
    </w:p>
    <w:p w14:paraId="2369CE95" w14:textId="77777777" w:rsidR="0099685F" w:rsidRDefault="00981762">
      <w:pPr>
        <w:pStyle w:val="ListParagraph"/>
        <w:numPr>
          <w:ilvl w:val="0"/>
          <w:numId w:val="1"/>
        </w:numPr>
        <w:tabs>
          <w:tab w:val="left" w:pos="862"/>
        </w:tabs>
      </w:pPr>
      <w:proofErr w:type="spellStart"/>
      <w:r>
        <w:rPr>
          <w:spacing w:val="-2"/>
          <w:sz w:val="20"/>
        </w:rPr>
        <w:t>Libye</w:t>
      </w:r>
      <w:proofErr w:type="spellEnd"/>
      <w:r>
        <w:rPr>
          <w:spacing w:val="-2"/>
          <w:sz w:val="20"/>
        </w:rPr>
        <w:t xml:space="preserve"> ;</w:t>
      </w:r>
    </w:p>
    <w:p w14:paraId="2D26DD9B" w14:textId="233AA3F0" w:rsidR="0099685F" w:rsidRDefault="00CF7516">
      <w:pPr>
        <w:pStyle w:val="ListParagraph"/>
        <w:numPr>
          <w:ilvl w:val="0"/>
          <w:numId w:val="1"/>
        </w:numPr>
        <w:tabs>
          <w:tab w:val="left" w:pos="862"/>
        </w:tabs>
        <w:spacing w:before="171"/>
      </w:pPr>
      <w:r>
        <w:rPr>
          <w:spacing w:val="-2"/>
          <w:sz w:val="20"/>
        </w:rPr>
        <w:t>Maroc;</w:t>
      </w:r>
    </w:p>
    <w:p w14:paraId="471054FB" w14:textId="683DC612" w:rsidR="0099685F" w:rsidRDefault="00CF7516">
      <w:pPr>
        <w:pStyle w:val="ListParagraph"/>
        <w:numPr>
          <w:ilvl w:val="0"/>
          <w:numId w:val="1"/>
        </w:numPr>
        <w:tabs>
          <w:tab w:val="left" w:pos="862"/>
        </w:tabs>
      </w:pPr>
      <w:r>
        <w:rPr>
          <w:spacing w:val="-2"/>
          <w:sz w:val="20"/>
        </w:rPr>
        <w:t>Palestine;</w:t>
      </w:r>
    </w:p>
    <w:p w14:paraId="5898FA92" w14:textId="3ACE199B" w:rsidR="0099685F" w:rsidRDefault="00CF7516">
      <w:pPr>
        <w:pStyle w:val="ListParagraph"/>
        <w:numPr>
          <w:ilvl w:val="0"/>
          <w:numId w:val="1"/>
        </w:numPr>
        <w:tabs>
          <w:tab w:val="left" w:pos="862"/>
        </w:tabs>
        <w:spacing w:before="170"/>
      </w:pPr>
      <w:r>
        <w:rPr>
          <w:sz w:val="20"/>
        </w:rPr>
        <w:t>Syrie;</w:t>
      </w:r>
      <w:r w:rsidR="00981762">
        <w:rPr>
          <w:spacing w:val="-5"/>
          <w:sz w:val="20"/>
        </w:rPr>
        <w:t xml:space="preserve"> et</w:t>
      </w:r>
    </w:p>
    <w:p w14:paraId="7FD1A7A0" w14:textId="77777777" w:rsidR="0099685F" w:rsidRDefault="00981762">
      <w:pPr>
        <w:pStyle w:val="ListParagraph"/>
        <w:numPr>
          <w:ilvl w:val="0"/>
          <w:numId w:val="1"/>
        </w:numPr>
        <w:tabs>
          <w:tab w:val="left" w:pos="861"/>
        </w:tabs>
        <w:spacing w:before="171"/>
        <w:ind w:left="861" w:hanging="359"/>
      </w:pPr>
      <w:proofErr w:type="spellStart"/>
      <w:r>
        <w:rPr>
          <w:spacing w:val="-2"/>
          <w:sz w:val="20"/>
        </w:rPr>
        <w:t>Tunisie</w:t>
      </w:r>
      <w:proofErr w:type="spellEnd"/>
      <w:r>
        <w:rPr>
          <w:spacing w:val="-2"/>
          <w:sz w:val="20"/>
        </w:rPr>
        <w:t>.</w:t>
      </w:r>
    </w:p>
    <w:p w14:paraId="0EF907E7" w14:textId="59521D36" w:rsidR="00CF7516" w:rsidRDefault="00CF7516" w:rsidP="001D1A1E">
      <w:pPr>
        <w:pStyle w:val="BodyText"/>
        <w:spacing w:before="158" w:line="288" w:lineRule="auto"/>
        <w:ind w:left="141"/>
        <w:rPr>
          <w:sz w:val="20"/>
          <w:lang w:val="fr-FR"/>
        </w:rPr>
      </w:pPr>
      <w:r w:rsidRPr="00CF7516">
        <w:rPr>
          <w:sz w:val="20"/>
          <w:lang w:val="fr-FR"/>
        </w:rPr>
        <w:t xml:space="preserve">Le projet a donné lieu à divers ateliers, à des </w:t>
      </w:r>
      <w:r w:rsidR="001D1A1E">
        <w:rPr>
          <w:sz w:val="20"/>
          <w:lang w:val="fr-FR"/>
        </w:rPr>
        <w:t>« </w:t>
      </w:r>
      <w:r w:rsidRPr="00CF7516">
        <w:rPr>
          <w:sz w:val="20"/>
          <w:lang w:val="fr-FR"/>
        </w:rPr>
        <w:t>visites de familiarisation</w:t>
      </w:r>
      <w:r w:rsidR="001D1A1E">
        <w:rPr>
          <w:sz w:val="20"/>
          <w:lang w:val="fr-FR"/>
        </w:rPr>
        <w:t> »</w:t>
      </w:r>
      <w:r w:rsidRPr="00CF7516">
        <w:rPr>
          <w:sz w:val="20"/>
          <w:lang w:val="fr-FR"/>
        </w:rPr>
        <w:t xml:space="preserve"> pour des fonctionnaires tunisiens au siège de Frontex à Varsovie, ainsi qu’à des réunions entre les États membres de l’U</w:t>
      </w:r>
      <w:r w:rsidR="001D1A1E">
        <w:rPr>
          <w:sz w:val="20"/>
          <w:lang w:val="fr-FR"/>
        </w:rPr>
        <w:t xml:space="preserve">E et la Ligue des États arabes. </w:t>
      </w:r>
      <w:r w:rsidRPr="00CF7516">
        <w:rPr>
          <w:sz w:val="20"/>
          <w:lang w:val="fr-FR"/>
        </w:rPr>
        <w:t xml:space="preserve">Selon le rapport de Frontex, malgré les tensions géopolitiques (faisant vraisemblablement référence à la guerre entre Israël et la Palestine), la </w:t>
      </w:r>
      <w:r w:rsidR="001D1A1E">
        <w:rPr>
          <w:sz w:val="20"/>
          <w:lang w:val="fr-FR"/>
        </w:rPr>
        <w:t>« </w:t>
      </w:r>
      <w:r w:rsidRPr="00CF7516">
        <w:rPr>
          <w:sz w:val="20"/>
          <w:lang w:val="fr-FR"/>
        </w:rPr>
        <w:t>coopération avec les autorités égyptiennes a pu être maintenue à un bon rythme et le projet a poursuivi sa mise en œuvre sans interruption majeure</w:t>
      </w:r>
      <w:r w:rsidR="001D1A1E">
        <w:rPr>
          <w:sz w:val="20"/>
          <w:lang w:val="fr-FR"/>
        </w:rPr>
        <w:t> »</w:t>
      </w:r>
      <w:r w:rsidRPr="00CF7516">
        <w:rPr>
          <w:sz w:val="20"/>
          <w:lang w:val="fr-FR"/>
        </w:rPr>
        <w:t>.</w:t>
      </w:r>
    </w:p>
    <w:p w14:paraId="2F6EF194" w14:textId="70832A6A" w:rsidR="0099685F" w:rsidRPr="00022147" w:rsidRDefault="001D1A1E">
      <w:pPr>
        <w:pStyle w:val="BodyText"/>
        <w:spacing w:line="288" w:lineRule="auto"/>
        <w:ind w:left="141"/>
        <w:rPr>
          <w:lang w:val="fr-FR"/>
        </w:rPr>
      </w:pPr>
      <w:r w:rsidRPr="001D1A1E">
        <w:rPr>
          <w:sz w:val="20"/>
          <w:lang w:val="fr-FR"/>
        </w:rPr>
        <w:t xml:space="preserve">La coopération de Frontex avec les soi-disant garde-côtes libyens est depuis longtemps au cœur de critiques et de controverses. Par le biais de ses opérations de surveillance </w:t>
      </w:r>
      <w:r w:rsidR="00981762" w:rsidRPr="00022147">
        <w:rPr>
          <w:sz w:val="20"/>
          <w:lang w:val="fr-FR"/>
        </w:rPr>
        <w:t xml:space="preserve">l'agence </w:t>
      </w:r>
      <w:hyperlink r:id="rId105">
        <w:r>
          <w:rPr>
            <w:color w:val="05037E"/>
            <w:sz w:val="20"/>
            <w:u w:val="single" w:color="05037E"/>
            <w:lang w:val="fr-FR"/>
          </w:rPr>
          <w:t>recueille et transmet</w:t>
        </w:r>
        <w:r w:rsidR="00981762" w:rsidRPr="00022147">
          <w:rPr>
            <w:color w:val="05037E"/>
            <w:sz w:val="20"/>
            <w:u w:val="single" w:color="05037E"/>
            <w:lang w:val="fr-FR"/>
          </w:rPr>
          <w:t xml:space="preserve"> </w:t>
        </w:r>
      </w:hyperlink>
      <w:r w:rsidR="00981762" w:rsidRPr="00022147">
        <w:rPr>
          <w:sz w:val="20"/>
          <w:lang w:val="fr-FR"/>
        </w:rPr>
        <w:t>les coordo</w:t>
      </w:r>
      <w:r>
        <w:rPr>
          <w:sz w:val="20"/>
          <w:lang w:val="fr-FR"/>
        </w:rPr>
        <w:t xml:space="preserve">nnées des bateaux quittant la Libye à des milices, </w:t>
      </w:r>
      <w:r w:rsidR="00981762" w:rsidRPr="00022147">
        <w:rPr>
          <w:sz w:val="20"/>
          <w:lang w:val="fr-FR"/>
        </w:rPr>
        <w:t>permet</w:t>
      </w:r>
      <w:r>
        <w:rPr>
          <w:sz w:val="20"/>
          <w:lang w:val="fr-FR"/>
        </w:rPr>
        <w:t xml:space="preserve">tant leur interception en mer et leur « renvoi » vers </w:t>
      </w:r>
      <w:r w:rsidR="00981762" w:rsidRPr="00022147">
        <w:rPr>
          <w:sz w:val="20"/>
          <w:lang w:val="fr-FR"/>
        </w:rPr>
        <w:t xml:space="preserve">la </w:t>
      </w:r>
      <w:hyperlink r:id="rId106">
        <w:r>
          <w:rPr>
            <w:color w:val="05037E"/>
            <w:sz w:val="20"/>
            <w:u w:val="single" w:color="05037E"/>
            <w:lang w:val="fr-FR"/>
          </w:rPr>
          <w:t>détention, à la violence et les</w:t>
        </w:r>
        <w:r w:rsidR="00981762" w:rsidRPr="00022147">
          <w:rPr>
            <w:color w:val="05037E"/>
            <w:sz w:val="20"/>
            <w:u w:val="single" w:color="05037E"/>
            <w:lang w:val="fr-FR"/>
          </w:rPr>
          <w:t xml:space="preserve"> abus</w:t>
        </w:r>
      </w:hyperlink>
      <w:r w:rsidR="00981762" w:rsidRPr="00022147">
        <w:rPr>
          <w:sz w:val="20"/>
          <w:lang w:val="fr-FR"/>
        </w:rPr>
        <w:t>.</w:t>
      </w:r>
    </w:p>
    <w:p w14:paraId="075850D5" w14:textId="727A98C9" w:rsidR="00EB3948" w:rsidRDefault="00EB3948">
      <w:pPr>
        <w:pStyle w:val="BodyText"/>
        <w:spacing w:before="119" w:line="288" w:lineRule="auto"/>
        <w:rPr>
          <w:sz w:val="20"/>
          <w:lang w:val="fr-FR"/>
        </w:rPr>
      </w:pPr>
      <w:r w:rsidRPr="00EB3948">
        <w:rPr>
          <w:sz w:val="20"/>
          <w:lang w:val="fr-FR"/>
        </w:rPr>
        <w:t>Le rapport ne fournit aucun détail sur la coopér</w:t>
      </w:r>
      <w:r>
        <w:rPr>
          <w:sz w:val="20"/>
          <w:lang w:val="fr-FR"/>
        </w:rPr>
        <w:t xml:space="preserve">ation de Frontex avec la Libye. </w:t>
      </w:r>
      <w:r w:rsidRPr="00EB3948">
        <w:rPr>
          <w:sz w:val="20"/>
          <w:lang w:val="fr-FR"/>
        </w:rPr>
        <w:t xml:space="preserve">Il mentionne toutefois quatre enquêtes portant sur </w:t>
      </w:r>
      <w:r>
        <w:rPr>
          <w:sz w:val="20"/>
          <w:lang w:val="fr-FR"/>
        </w:rPr>
        <w:t>« </w:t>
      </w:r>
      <w:r w:rsidRPr="00EB3948">
        <w:rPr>
          <w:sz w:val="20"/>
          <w:lang w:val="fr-FR"/>
        </w:rPr>
        <w:t>des violations des droits fondamentaux commises par des acteurs libyens de recherche et de sauvetage en mer, survenues à la s</w:t>
      </w:r>
      <w:r>
        <w:rPr>
          <w:sz w:val="20"/>
          <w:lang w:val="fr-FR"/>
        </w:rPr>
        <w:t xml:space="preserve">uite d'observations de Frontex ». </w:t>
      </w:r>
      <w:r w:rsidRPr="00EB3948">
        <w:rPr>
          <w:sz w:val="20"/>
          <w:lang w:val="fr-FR"/>
        </w:rPr>
        <w:t xml:space="preserve">Cependant, ces enquêtes </w:t>
      </w:r>
      <w:r>
        <w:rPr>
          <w:sz w:val="20"/>
          <w:lang w:val="fr-FR"/>
        </w:rPr>
        <w:t>« </w:t>
      </w:r>
      <w:r w:rsidRPr="00EB3948">
        <w:rPr>
          <w:sz w:val="20"/>
          <w:lang w:val="fr-FR"/>
        </w:rPr>
        <w:t>n'ont donné lieu à aucun contact avec les autorités libyennes</w:t>
      </w:r>
      <w:r>
        <w:rPr>
          <w:sz w:val="20"/>
          <w:lang w:val="fr-FR"/>
        </w:rPr>
        <w:t> </w:t>
      </w:r>
    </w:p>
    <w:p w14:paraId="3EFE3DF4" w14:textId="1A154625" w:rsidR="00EB3948" w:rsidRPr="00EB3948" w:rsidRDefault="00EB3948" w:rsidP="00EB3948">
      <w:pPr>
        <w:pStyle w:val="Heading3"/>
        <w:rPr>
          <w:lang w:val="fr-FR"/>
        </w:rPr>
      </w:pPr>
      <w:r w:rsidRPr="00EB3948">
        <w:rPr>
          <w:spacing w:val="-4"/>
          <w:sz w:val="20"/>
          <w:lang w:val="fr-FR"/>
        </w:rPr>
        <w:t>Surveillance, contrôle aux frontières et autres opérations</w:t>
      </w:r>
    </w:p>
    <w:p w14:paraId="7F57BCDC" w14:textId="47D47F43" w:rsidR="00EB3948" w:rsidRDefault="00EB3948">
      <w:pPr>
        <w:pStyle w:val="BodyText"/>
        <w:spacing w:before="171" w:line="288" w:lineRule="auto"/>
        <w:rPr>
          <w:sz w:val="20"/>
          <w:lang w:val="fr-FR"/>
        </w:rPr>
      </w:pPr>
      <w:r w:rsidRPr="00EB3948">
        <w:rPr>
          <w:sz w:val="20"/>
          <w:lang w:val="fr-FR"/>
        </w:rPr>
        <w:t>Le rapport couvre de nombreux autres développements, notamment une coopérati</w:t>
      </w:r>
      <w:r>
        <w:rPr>
          <w:sz w:val="20"/>
          <w:lang w:val="fr-FR"/>
        </w:rPr>
        <w:t xml:space="preserve">on limitée avec des pays de la « Route de la soie » </w:t>
      </w:r>
      <w:r w:rsidRPr="00EB3948">
        <w:rPr>
          <w:sz w:val="20"/>
          <w:lang w:val="fr-FR"/>
        </w:rPr>
        <w:t>et d’Asie centrale, dont l’Afghanistan, le Kazakhstan, le Kirghizstan, le Pakistan, le Tadjikistan, le Turkménistan et l’Ouzbékistan.</w:t>
      </w:r>
    </w:p>
    <w:p w14:paraId="113668BB" w14:textId="0C8170BD" w:rsidR="0099685F" w:rsidRPr="00022147" w:rsidRDefault="00EB3948">
      <w:pPr>
        <w:pStyle w:val="BodyText"/>
        <w:rPr>
          <w:lang w:val="fr-FR"/>
        </w:rPr>
      </w:pPr>
      <w:r w:rsidRPr="00EB3948">
        <w:rPr>
          <w:sz w:val="20"/>
          <w:lang w:val="fr-FR"/>
        </w:rPr>
        <w:t>Il aborde également des sujets susceptibles d’intéresser les chercheurs e</w:t>
      </w:r>
      <w:r>
        <w:rPr>
          <w:sz w:val="20"/>
          <w:lang w:val="fr-FR"/>
        </w:rPr>
        <w:t>t les militants, parmi lesquels :</w:t>
      </w:r>
    </w:p>
    <w:p w14:paraId="6F5C9364" w14:textId="5ACD6B09" w:rsidR="0099685F" w:rsidRPr="00022147" w:rsidRDefault="00C84392">
      <w:pPr>
        <w:pStyle w:val="ListParagraph"/>
        <w:numPr>
          <w:ilvl w:val="0"/>
          <w:numId w:val="1"/>
        </w:numPr>
        <w:tabs>
          <w:tab w:val="left" w:pos="861"/>
        </w:tabs>
        <w:spacing w:before="182"/>
        <w:ind w:left="861" w:hanging="359"/>
        <w:rPr>
          <w:lang w:val="fr-FR"/>
        </w:rPr>
      </w:pPr>
      <w:r>
        <w:rPr>
          <w:sz w:val="20"/>
          <w:lang w:val="fr-FR"/>
        </w:rPr>
        <w:t>des efforts visant à « renforcer les échanges de</w:t>
      </w:r>
      <w:r w:rsidR="00981762" w:rsidRPr="00022147">
        <w:rPr>
          <w:sz w:val="20"/>
          <w:lang w:val="fr-FR"/>
        </w:rPr>
        <w:t xml:space="preserve"> renseignements</w:t>
      </w:r>
      <w:r>
        <w:rPr>
          <w:sz w:val="20"/>
          <w:lang w:val="fr-FR"/>
        </w:rPr>
        <w:t xml:space="preserve"> » </w:t>
      </w:r>
      <w:r w:rsidR="00981762" w:rsidRPr="00022147">
        <w:rPr>
          <w:sz w:val="20"/>
          <w:lang w:val="fr-FR"/>
        </w:rPr>
        <w:t xml:space="preserve">avec les États-Unis et le </w:t>
      </w:r>
      <w:r w:rsidR="00981762" w:rsidRPr="00022147">
        <w:rPr>
          <w:spacing w:val="-2"/>
          <w:sz w:val="20"/>
          <w:lang w:val="fr-FR"/>
        </w:rPr>
        <w:t>Canada ;</w:t>
      </w:r>
    </w:p>
    <w:p w14:paraId="5207A4EE" w14:textId="4DBD55C4" w:rsidR="00EB3948" w:rsidRPr="00EB3948" w:rsidRDefault="00981762" w:rsidP="00C84392">
      <w:pPr>
        <w:pStyle w:val="ListParagraph"/>
        <w:numPr>
          <w:ilvl w:val="0"/>
          <w:numId w:val="1"/>
        </w:numPr>
        <w:tabs>
          <w:tab w:val="left" w:pos="862"/>
        </w:tabs>
        <w:spacing w:before="170" w:line="273" w:lineRule="auto"/>
        <w:ind w:right="437"/>
        <w:rPr>
          <w:lang w:val="fr-FR"/>
        </w:rPr>
      </w:pPr>
      <w:r w:rsidRPr="00022147">
        <w:rPr>
          <w:sz w:val="20"/>
          <w:lang w:val="fr-FR"/>
        </w:rPr>
        <w:t xml:space="preserve">la </w:t>
      </w:r>
      <w:r w:rsidR="00C84392" w:rsidRPr="00C84392">
        <w:rPr>
          <w:sz w:val="20"/>
          <w:lang w:val="fr-FR"/>
        </w:rPr>
        <w:t xml:space="preserve">coordination de </w:t>
      </w:r>
      <w:r w:rsidR="00C84392">
        <w:rPr>
          <w:sz w:val="20"/>
          <w:lang w:val="fr-FR"/>
        </w:rPr>
        <w:t>« </w:t>
      </w:r>
      <w:r w:rsidR="00C84392" w:rsidRPr="00C84392">
        <w:rPr>
          <w:sz w:val="20"/>
          <w:lang w:val="fr-FR"/>
        </w:rPr>
        <w:t>journées d’action communes contre la criminalité transfrontalière</w:t>
      </w:r>
      <w:r w:rsidR="00C84392">
        <w:rPr>
          <w:sz w:val="20"/>
          <w:lang w:val="fr-FR"/>
        </w:rPr>
        <w:t> »</w:t>
      </w:r>
      <w:r w:rsidR="00C84392" w:rsidRPr="00C84392">
        <w:rPr>
          <w:sz w:val="20"/>
          <w:lang w:val="fr-FR"/>
        </w:rPr>
        <w:t>, ayant abouti à des centaines d’arrestations et à la saisie massive d’armes et de stupéfiants ;</w:t>
      </w:r>
    </w:p>
    <w:p w14:paraId="5D70C195" w14:textId="7DE35BC2" w:rsidR="00EB3948" w:rsidRPr="00EB3948" w:rsidRDefault="00981762" w:rsidP="00C84392">
      <w:pPr>
        <w:pStyle w:val="ListParagraph"/>
        <w:numPr>
          <w:ilvl w:val="0"/>
          <w:numId w:val="1"/>
        </w:numPr>
        <w:tabs>
          <w:tab w:val="left" w:pos="862"/>
        </w:tabs>
        <w:spacing w:before="170" w:line="273" w:lineRule="auto"/>
        <w:ind w:right="437"/>
        <w:rPr>
          <w:lang w:val="fr-FR"/>
        </w:rPr>
      </w:pPr>
      <w:r w:rsidRPr="00EB3948">
        <w:rPr>
          <w:sz w:val="20"/>
          <w:lang w:val="fr-FR"/>
        </w:rPr>
        <w:t>la</w:t>
      </w:r>
      <w:r w:rsidR="00C84392" w:rsidRPr="00C84392">
        <w:rPr>
          <w:sz w:val="20"/>
          <w:lang w:val="fr-FR"/>
        </w:rPr>
        <w:t xml:space="preserve"> coopération continue avec Interpol, notamment en matière de faux documents</w:t>
      </w:r>
      <w:r w:rsidR="00EB3948">
        <w:rPr>
          <w:spacing w:val="-2"/>
          <w:sz w:val="20"/>
          <w:lang w:val="fr-FR"/>
        </w:rPr>
        <w:t>;</w:t>
      </w:r>
    </w:p>
    <w:p w14:paraId="6EC5107A" w14:textId="77777777" w:rsidR="00EB3948" w:rsidRPr="00EB3948" w:rsidRDefault="00EB3948" w:rsidP="00EB3948">
      <w:pPr>
        <w:tabs>
          <w:tab w:val="left" w:pos="862"/>
        </w:tabs>
        <w:spacing w:before="170" w:line="273" w:lineRule="auto"/>
        <w:ind w:right="437"/>
        <w:rPr>
          <w:lang w:val="fr-FR"/>
        </w:rPr>
        <w:sectPr w:rsidR="00EB3948" w:rsidRPr="00EB3948">
          <w:pgSz w:w="11910" w:h="16840"/>
          <w:pgMar w:top="1320" w:right="1417" w:bottom="1960" w:left="1275" w:header="0" w:footer="1766" w:gutter="0"/>
          <w:cols w:space="708"/>
        </w:sectPr>
      </w:pPr>
    </w:p>
    <w:p w14:paraId="0FE1F0C4" w14:textId="0FDC29A6" w:rsidR="0099685F" w:rsidRPr="00022147" w:rsidRDefault="00C84392" w:rsidP="00C84392">
      <w:pPr>
        <w:pStyle w:val="ListParagraph"/>
        <w:numPr>
          <w:ilvl w:val="0"/>
          <w:numId w:val="1"/>
        </w:numPr>
        <w:tabs>
          <w:tab w:val="left" w:pos="862"/>
        </w:tabs>
        <w:spacing w:before="90" w:line="273" w:lineRule="auto"/>
        <w:ind w:right="268"/>
        <w:rPr>
          <w:lang w:val="fr-FR"/>
        </w:rPr>
      </w:pPr>
      <w:r w:rsidRPr="00022147">
        <w:rPr>
          <w:sz w:val="20"/>
          <w:lang w:val="fr-FR"/>
        </w:rPr>
        <w:lastRenderedPageBreak/>
        <w:t>l’expansion du</w:t>
      </w:r>
      <w:r w:rsidRPr="00C84392">
        <w:rPr>
          <w:sz w:val="20"/>
          <w:lang w:val="fr-FR"/>
        </w:rPr>
        <w:t xml:space="preserve"> rôle de Frontex dans le régime d’expulsion de l’UE (près de 40 000 expulsions en 2023, selon le rapport</w:t>
      </w:r>
      <w:r>
        <w:rPr>
          <w:sz w:val="20"/>
          <w:lang w:val="fr-FR"/>
        </w:rPr>
        <w:t>)</w:t>
      </w:r>
    </w:p>
    <w:p w14:paraId="69DE393C" w14:textId="727E3206" w:rsidR="0099685F" w:rsidRPr="00022147" w:rsidRDefault="00981762" w:rsidP="00C84392">
      <w:pPr>
        <w:pStyle w:val="ListParagraph"/>
        <w:numPr>
          <w:ilvl w:val="0"/>
          <w:numId w:val="1"/>
        </w:numPr>
        <w:tabs>
          <w:tab w:val="left" w:pos="862"/>
        </w:tabs>
        <w:spacing w:before="147" w:line="273" w:lineRule="auto"/>
        <w:ind w:right="109"/>
        <w:rPr>
          <w:lang w:val="fr-FR"/>
        </w:rPr>
      </w:pPr>
      <w:r w:rsidRPr="00022147">
        <w:rPr>
          <w:sz w:val="20"/>
          <w:lang w:val="fr-FR"/>
        </w:rPr>
        <w:t xml:space="preserve">des </w:t>
      </w:r>
      <w:r w:rsidR="00C84392" w:rsidRPr="00C84392">
        <w:rPr>
          <w:sz w:val="20"/>
          <w:lang w:val="fr-FR"/>
        </w:rPr>
        <w:t>formations dispensées à près de 400 fonctionnaires non européens sur des thèmes comme la détection des armes à feu, l’inspection docume</w:t>
      </w:r>
      <w:r w:rsidR="00C84392">
        <w:rPr>
          <w:sz w:val="20"/>
          <w:lang w:val="fr-FR"/>
        </w:rPr>
        <w:t>ntaire et l’analyse des risques ;</w:t>
      </w:r>
    </w:p>
    <w:p w14:paraId="3722A0CC" w14:textId="77777777" w:rsidR="00C84392" w:rsidRPr="00C84392" w:rsidRDefault="00C84392" w:rsidP="00C84392">
      <w:pPr>
        <w:pStyle w:val="ListParagraph"/>
        <w:numPr>
          <w:ilvl w:val="0"/>
          <w:numId w:val="1"/>
        </w:numPr>
        <w:tabs>
          <w:tab w:val="left" w:pos="862"/>
        </w:tabs>
        <w:spacing w:before="148"/>
        <w:rPr>
          <w:lang w:val="fr-FR"/>
        </w:rPr>
      </w:pPr>
      <w:r w:rsidRPr="00C84392">
        <w:rPr>
          <w:sz w:val="20"/>
          <w:lang w:val="fr-FR"/>
        </w:rPr>
        <w:t xml:space="preserve">et </w:t>
      </w:r>
      <w:r>
        <w:rPr>
          <w:sz w:val="20"/>
          <w:lang w:val="fr-FR"/>
        </w:rPr>
        <w:t xml:space="preserve">prévoir </w:t>
      </w:r>
      <w:r w:rsidRPr="00C84392">
        <w:rPr>
          <w:sz w:val="20"/>
          <w:lang w:val="fr-FR"/>
        </w:rPr>
        <w:t>un projet visant à étendre l’usage des drones à des fins de surveillance.</w:t>
      </w:r>
    </w:p>
    <w:p w14:paraId="48C471F7" w14:textId="48648353" w:rsidR="00C84392" w:rsidRDefault="00BA7181" w:rsidP="00BA7181">
      <w:pPr>
        <w:tabs>
          <w:tab w:val="left" w:pos="862"/>
        </w:tabs>
        <w:spacing w:before="148"/>
        <w:rPr>
          <w:sz w:val="20"/>
          <w:lang w:val="fr-FR"/>
        </w:rPr>
      </w:pPr>
      <w:r>
        <w:rPr>
          <w:sz w:val="20"/>
          <w:lang w:val="fr-FR"/>
        </w:rPr>
        <w:t>C</w:t>
      </w:r>
      <w:r w:rsidRPr="00BA7181">
        <w:rPr>
          <w:sz w:val="20"/>
          <w:lang w:val="fr-FR"/>
        </w:rPr>
        <w:t>es formes de coopération sont désormais solidement intégrées dans le travail de Frontex et devraient se ren</w:t>
      </w:r>
      <w:r>
        <w:rPr>
          <w:sz w:val="20"/>
          <w:lang w:val="fr-FR"/>
        </w:rPr>
        <w:t xml:space="preserve">forcer dans les années à venir. </w:t>
      </w:r>
      <w:r w:rsidRPr="00BA7181">
        <w:rPr>
          <w:sz w:val="20"/>
          <w:lang w:val="fr-FR"/>
        </w:rPr>
        <w:t>L’objectif sous-jacent est clair : exporter le modèle européen de gestion des frontières vers des pays proches et lointains, afin de bloquer l’entrée des personnes jugées indésira</w:t>
      </w:r>
      <w:r>
        <w:rPr>
          <w:sz w:val="20"/>
          <w:lang w:val="fr-FR"/>
        </w:rPr>
        <w:t xml:space="preserve">bles sur le territoire de l’UE. </w:t>
      </w:r>
      <w:r w:rsidRPr="00BA7181">
        <w:rPr>
          <w:sz w:val="20"/>
          <w:lang w:val="fr-FR"/>
        </w:rPr>
        <w:t>Face à la violence et aux abus que ce projet engendre, il devient essentiel de renforcer la coopération transnationale entre les acteurs qui œuvrent à rendre l’UE et Frontex redevables de leurs actes.</w:t>
      </w:r>
    </w:p>
    <w:p w14:paraId="793BB14F" w14:textId="77777777" w:rsidR="00C84392" w:rsidRDefault="00C84392" w:rsidP="00C84392">
      <w:pPr>
        <w:tabs>
          <w:tab w:val="left" w:pos="862"/>
        </w:tabs>
        <w:spacing w:before="148"/>
        <w:rPr>
          <w:sz w:val="20"/>
          <w:lang w:val="fr-FR"/>
        </w:rPr>
      </w:pPr>
    </w:p>
    <w:p w14:paraId="0976FF74" w14:textId="77777777" w:rsidR="0099685F" w:rsidRPr="00022147" w:rsidRDefault="0099685F" w:rsidP="00022147">
      <w:pPr>
        <w:pStyle w:val="BodyText"/>
        <w:spacing w:line="288" w:lineRule="auto"/>
        <w:ind w:left="0"/>
        <w:rPr>
          <w:lang w:val="fr-FR"/>
        </w:rPr>
        <w:sectPr w:rsidR="0099685F" w:rsidRPr="00022147">
          <w:pgSz w:w="11910" w:h="16840"/>
          <w:pgMar w:top="1320" w:right="1417" w:bottom="1960" w:left="1275" w:header="0" w:footer="1766" w:gutter="0"/>
          <w:cols w:space="708"/>
        </w:sectPr>
      </w:pPr>
    </w:p>
    <w:p w14:paraId="3532C069" w14:textId="77777777" w:rsidR="0099685F" w:rsidRPr="00022147" w:rsidRDefault="00981762" w:rsidP="00022147">
      <w:pPr>
        <w:pStyle w:val="Heading1"/>
        <w:ind w:left="0"/>
        <w:rPr>
          <w:lang w:val="fr-FR"/>
        </w:rPr>
      </w:pPr>
      <w:bookmarkStart w:id="21" w:name="About_this_bulletin"/>
      <w:bookmarkStart w:id="22" w:name="_bookmark9"/>
      <w:bookmarkEnd w:id="21"/>
      <w:bookmarkEnd w:id="22"/>
      <w:r w:rsidRPr="00022147">
        <w:rPr>
          <w:sz w:val="26"/>
          <w:lang w:val="fr-FR"/>
        </w:rPr>
        <w:lastRenderedPageBreak/>
        <w:t xml:space="preserve">À propos de ce </w:t>
      </w:r>
      <w:r w:rsidRPr="00022147">
        <w:rPr>
          <w:spacing w:val="-2"/>
          <w:sz w:val="26"/>
          <w:lang w:val="fr-FR"/>
        </w:rPr>
        <w:t>bulletin</w:t>
      </w:r>
    </w:p>
    <w:p w14:paraId="1F50F100" w14:textId="7DDF0120" w:rsidR="00BA7181" w:rsidRPr="00BA7181" w:rsidRDefault="00BA7181" w:rsidP="00BA7181">
      <w:pPr>
        <w:pStyle w:val="BodyText"/>
        <w:spacing w:before="184" w:line="288" w:lineRule="auto"/>
        <w:ind w:left="141" w:right="72"/>
        <w:rPr>
          <w:sz w:val="20"/>
          <w:lang w:val="fr-FR"/>
        </w:rPr>
      </w:pPr>
      <w:r w:rsidRPr="00BA7181">
        <w:rPr>
          <w:sz w:val="20"/>
          <w:lang w:val="fr-FR"/>
        </w:rPr>
        <w:t xml:space="preserve">Ce projet, conduit par </w:t>
      </w:r>
      <w:proofErr w:type="spellStart"/>
      <w:r w:rsidRPr="00BA7181">
        <w:rPr>
          <w:i/>
          <w:sz w:val="20"/>
          <w:lang w:val="fr-FR"/>
        </w:rPr>
        <w:t>Statewatch</w:t>
      </w:r>
      <w:proofErr w:type="spellEnd"/>
      <w:r w:rsidRPr="00BA7181">
        <w:rPr>
          <w:sz w:val="20"/>
          <w:lang w:val="fr-FR"/>
        </w:rPr>
        <w:t xml:space="preserve"> et migration-control.info, est financé par </w:t>
      </w:r>
      <w:proofErr w:type="spellStart"/>
      <w:r w:rsidRPr="00BA7181">
        <w:rPr>
          <w:i/>
          <w:sz w:val="20"/>
          <w:lang w:val="fr-FR"/>
        </w:rPr>
        <w:t>Brot</w:t>
      </w:r>
      <w:proofErr w:type="spellEnd"/>
      <w:r w:rsidRPr="00BA7181">
        <w:rPr>
          <w:i/>
          <w:sz w:val="20"/>
          <w:lang w:val="fr-FR"/>
        </w:rPr>
        <w:t xml:space="preserve"> </w:t>
      </w:r>
      <w:proofErr w:type="spellStart"/>
      <w:r w:rsidRPr="00BA7181">
        <w:rPr>
          <w:i/>
          <w:sz w:val="20"/>
          <w:lang w:val="fr-FR"/>
        </w:rPr>
        <w:t>für</w:t>
      </w:r>
      <w:proofErr w:type="spellEnd"/>
      <w:r w:rsidRPr="00BA7181">
        <w:rPr>
          <w:i/>
          <w:sz w:val="20"/>
          <w:lang w:val="fr-FR"/>
        </w:rPr>
        <w:t xml:space="preserve"> die </w:t>
      </w:r>
      <w:proofErr w:type="spellStart"/>
      <w:r w:rsidRPr="00BA7181">
        <w:rPr>
          <w:i/>
          <w:sz w:val="20"/>
          <w:lang w:val="fr-FR"/>
        </w:rPr>
        <w:t>Welt</w:t>
      </w:r>
      <w:proofErr w:type="spellEnd"/>
      <w:r w:rsidRPr="00BA7181">
        <w:rPr>
          <w:i/>
          <w:sz w:val="20"/>
          <w:lang w:val="fr-FR"/>
        </w:rPr>
        <w:t xml:space="preserve">, </w:t>
      </w:r>
      <w:proofErr w:type="spellStart"/>
      <w:r w:rsidRPr="00BA7181">
        <w:rPr>
          <w:i/>
          <w:sz w:val="20"/>
          <w:lang w:val="fr-FR"/>
        </w:rPr>
        <w:t>Misereor</w:t>
      </w:r>
      <w:proofErr w:type="spellEnd"/>
      <w:r w:rsidRPr="00BA7181">
        <w:rPr>
          <w:i/>
          <w:sz w:val="20"/>
          <w:lang w:val="fr-FR"/>
        </w:rPr>
        <w:t xml:space="preserve">, </w:t>
      </w:r>
      <w:proofErr w:type="spellStart"/>
      <w:r w:rsidRPr="00BA7181">
        <w:rPr>
          <w:i/>
          <w:sz w:val="20"/>
          <w:lang w:val="fr-FR"/>
        </w:rPr>
        <w:t>medico</w:t>
      </w:r>
      <w:proofErr w:type="spellEnd"/>
      <w:r w:rsidRPr="00BA7181">
        <w:rPr>
          <w:i/>
          <w:sz w:val="20"/>
          <w:lang w:val="fr-FR"/>
        </w:rPr>
        <w:t xml:space="preserve"> international et Pro </w:t>
      </w:r>
      <w:proofErr w:type="spellStart"/>
      <w:r w:rsidRPr="00BA7181">
        <w:rPr>
          <w:i/>
          <w:sz w:val="20"/>
          <w:lang w:val="fr-FR"/>
        </w:rPr>
        <w:t>Asyl</w:t>
      </w:r>
      <w:proofErr w:type="spellEnd"/>
      <w:r>
        <w:rPr>
          <w:sz w:val="20"/>
          <w:lang w:val="fr-FR"/>
        </w:rPr>
        <w:t>. Il vise à rendre public</w:t>
      </w:r>
      <w:r w:rsidRPr="00BA7181">
        <w:rPr>
          <w:sz w:val="20"/>
          <w:lang w:val="fr-FR"/>
        </w:rPr>
        <w:t xml:space="preserve"> les politiques et pratiques d’externalisation de l’UE, en mettant en lumière leur impact sur les droits des personnes en déplacement, ainsi que sur les normes démocratiques, la transparence et</w:t>
      </w:r>
      <w:r>
        <w:rPr>
          <w:sz w:val="20"/>
          <w:lang w:val="fr-FR"/>
        </w:rPr>
        <w:t xml:space="preserve"> la responsabilité. </w:t>
      </w:r>
      <w:r w:rsidRPr="00BA7181">
        <w:rPr>
          <w:sz w:val="20"/>
          <w:lang w:val="fr-FR"/>
        </w:rPr>
        <w:t>Le projet répond au manque d’information accessible au public en publiant des documents pertinents de l’UE, principalement ceux produits ou discutés par le Co</w:t>
      </w:r>
      <w:r>
        <w:rPr>
          <w:sz w:val="20"/>
          <w:lang w:val="fr-FR"/>
        </w:rPr>
        <w:t xml:space="preserve">nseil de l’UE dans cette phase. </w:t>
      </w:r>
      <w:r w:rsidRPr="00BA7181">
        <w:rPr>
          <w:sz w:val="20"/>
          <w:lang w:val="fr-FR"/>
        </w:rPr>
        <w:t>Il s’attaque également à la surcharge d’informations émanant de multiples institutions, groupes de travail et gouvernements impliqués dans l’agenda de l’externalisation, en proposant des résumés thématiques et régionaux et en analysant les enjeux clés en profondeur.</w:t>
      </w:r>
    </w:p>
    <w:p w14:paraId="770C499E" w14:textId="4C8DA686" w:rsidR="0099685F" w:rsidRPr="00022147" w:rsidRDefault="0099685F" w:rsidP="00BA7181">
      <w:pPr>
        <w:pStyle w:val="BodyText"/>
        <w:spacing w:before="184" w:line="288" w:lineRule="auto"/>
        <w:ind w:left="0" w:right="72"/>
        <w:rPr>
          <w:lang w:val="fr-FR"/>
        </w:rPr>
      </w:pPr>
    </w:p>
    <w:sectPr w:rsidR="0099685F" w:rsidRPr="00022147">
      <w:pgSz w:w="11910" w:h="16840"/>
      <w:pgMar w:top="1320" w:right="1417" w:bottom="1960" w:left="1275" w:header="0" w:footer="17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2E36A" w14:textId="77777777" w:rsidR="00942309" w:rsidRDefault="00942309">
      <w:r>
        <w:separator/>
      </w:r>
    </w:p>
  </w:endnote>
  <w:endnote w:type="continuationSeparator" w:id="0">
    <w:p w14:paraId="75B1309C" w14:textId="77777777" w:rsidR="00942309" w:rsidRDefault="0094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D7AB6" w14:textId="77777777" w:rsidR="00A71469" w:rsidRDefault="00A71469">
    <w:pPr>
      <w:pStyle w:val="BodyText"/>
      <w:spacing w:before="0" w:line="14" w:lineRule="auto"/>
      <w:ind w:left="0"/>
      <w:rPr>
        <w:sz w:val="20"/>
      </w:rPr>
    </w:pPr>
    <w:r>
      <w:rPr>
        <w:noProof/>
        <w:sz w:val="20"/>
        <w:lang w:val="fr-FR" w:eastAsia="fr-FR"/>
      </w:rPr>
      <mc:AlternateContent>
        <mc:Choice Requires="wps">
          <w:drawing>
            <wp:anchor distT="0" distB="0" distL="0" distR="0" simplePos="0" relativeHeight="251658240" behindDoc="1" locked="0" layoutInCell="1" allowOverlap="1" wp14:anchorId="676F1232" wp14:editId="2B19F530">
              <wp:simplePos x="0" y="0"/>
              <wp:positionH relativeFrom="page">
                <wp:posOffset>1986019</wp:posOffset>
              </wp:positionH>
              <wp:positionV relativeFrom="page">
                <wp:posOffset>9431084</wp:posOffset>
              </wp:positionV>
              <wp:extent cx="3588385" cy="342265"/>
              <wp:effectExtent l="0" t="0" r="0" b="0"/>
              <wp:wrapNone/>
              <wp:docPr id="1" name="Textbox 1"/>
              <wp:cNvGraphicFramePr/>
              <a:graphic xmlns:a="http://schemas.openxmlformats.org/drawingml/2006/main">
                <a:graphicData uri="http://schemas.microsoft.com/office/word/2010/wordprocessingShape">
                  <wps:wsp>
                    <wps:cNvSpPr txBox="1"/>
                    <wps:spPr>
                      <a:xfrm>
                        <a:off x="0" y="0"/>
                        <a:ext cx="3588385" cy="342265"/>
                      </a:xfrm>
                      <a:prstGeom prst="rect">
                        <a:avLst/>
                      </a:prstGeom>
                    </wps:spPr>
                    <wps:txbx>
                      <w:txbxContent>
                        <w:p w14:paraId="0562A188" w14:textId="77777777" w:rsidR="00A71469" w:rsidRPr="00022147" w:rsidRDefault="00A71469">
                          <w:pPr>
                            <w:pStyle w:val="BodyText"/>
                            <w:spacing w:before="12"/>
                            <w:ind w:left="1443" w:right="18" w:hanging="1424"/>
                            <w:rPr>
                              <w:lang w:val="fr-FR"/>
                            </w:rPr>
                          </w:pPr>
                          <w:r w:rsidRPr="00022147">
                            <w:rPr>
                              <w:sz w:val="20"/>
                              <w:lang w:val="fr-FR"/>
                            </w:rPr>
                            <w:t xml:space="preserve">L'externalisation des frontières : Le suivi de la politique d'Bulletin 5, 11 février 2024externalisation de l'UE </w:t>
                          </w:r>
                        </w:p>
                      </w:txbxContent>
                    </wps:txbx>
                    <wps:bodyPr wrap="square" lIns="0" tIns="0" rIns="0" bIns="0" rtlCol="0"/>
                  </wps:wsp>
                </a:graphicData>
              </a:graphic>
            </wp:anchor>
          </w:drawing>
        </mc:Choice>
        <mc:Fallback>
          <w:pict>
            <v:shapetype w14:anchorId="676F1232" id="_x0000_t202" coordsize="21600,21600" o:spt="202" path="m,l,21600r21600,l21600,xe">
              <v:stroke joinstyle="miter"/>
              <v:path gradientshapeok="t" o:connecttype="rect"/>
            </v:shapetype>
            <v:shape id="Textbox 1" o:spid="_x0000_s1026" type="#_x0000_t202" style="position:absolute;margin-left:156.4pt;margin-top:742.6pt;width:282.55pt;height:26.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" filled="f" stroked="f">
              <v:textbox inset="0,0,0,0">
                <w:txbxContent>
                  <w:p w14:paraId="0562A188" w14:textId="77777777" w:rsidR="00A71469" w:rsidRPr="00022147" w:rsidRDefault="00A71469">
                    <w:pPr>
                      <w:pStyle w:val="Textkrper"/>
                      <w:spacing w:before="12"/>
                      <w:ind w:left="1443" w:right="18" w:hanging="1424"/>
                      <w:rPr>
                        <w:lang w:val="fr-FR"/>
                      </w:rPr>
                    </w:pPr>
                    <w:r w:rsidRPr="00022147">
                      <w:rPr>
                        <w:sz w:val="20"/>
                        <w:lang w:val="fr-FR"/>
                      </w:rPr>
                      <w:t xml:space="preserve">L'externalisation des frontières : Le suivi de la politique d'Bulletin 5, 11 février 2024externalisation de l'UE </w:t>
                    </w:r>
                  </w:p>
                </w:txbxContent>
              </v:textbox>
              <w10:wrap anchorx="page" anchory="page"/>
            </v:shape>
          </w:pict>
        </mc:Fallback>
      </mc:AlternateContent>
    </w:r>
    <w:r>
      <w:rPr>
        <w:noProof/>
        <w:sz w:val="20"/>
        <w:lang w:val="fr-FR" w:eastAsia="fr-FR"/>
      </w:rPr>
      <mc:AlternateContent>
        <mc:Choice Requires="wps">
          <w:drawing>
            <wp:anchor distT="0" distB="0" distL="0" distR="0" simplePos="0" relativeHeight="251661312" behindDoc="1" locked="0" layoutInCell="1" allowOverlap="1" wp14:anchorId="1DDFF0EE" wp14:editId="332AA0AB">
              <wp:simplePos x="0" y="0"/>
              <wp:positionH relativeFrom="page">
                <wp:posOffset>3689910</wp:posOffset>
              </wp:positionH>
              <wp:positionV relativeFrom="page">
                <wp:posOffset>9913429</wp:posOffset>
              </wp:positionV>
              <wp:extent cx="180975" cy="181610"/>
              <wp:effectExtent l="0" t="0" r="0" b="0"/>
              <wp:wrapNone/>
              <wp:docPr id="2" name="Textbox 2"/>
              <wp:cNvGraphicFramePr/>
              <a:graphic xmlns:a="http://schemas.openxmlformats.org/drawingml/2006/main">
                <a:graphicData uri="http://schemas.microsoft.com/office/word/2010/wordprocessingShape">
                  <wps:wsp>
                    <wps:cNvSpPr txBox="1"/>
                    <wps:spPr>
                      <a:xfrm>
                        <a:off x="0" y="0"/>
                        <a:ext cx="180975" cy="181610"/>
                      </a:xfrm>
                      <a:prstGeom prst="rect">
                        <a:avLst/>
                      </a:prstGeom>
                    </wps:spPr>
                    <wps:txbx>
                      <w:txbxContent>
                        <w:p w14:paraId="0A3BD3FC" w14:textId="7F184D69" w:rsidR="00A71469" w:rsidRDefault="00A71469">
                          <w:pPr>
                            <w:pStyle w:val="BodyText"/>
                            <w:spacing w:before="12"/>
                            <w:ind w:left="20"/>
                          </w:pPr>
                          <w:r>
                            <w:rPr>
                              <w:spacing w:val="-5"/>
                            </w:rPr>
                            <w:fldChar w:fldCharType="begin"/>
                          </w:r>
                          <w:r>
                            <w:rPr>
                              <w:spacing w:val="-5"/>
                              <w:sz w:val="20"/>
                            </w:rPr>
                            <w:instrText xml:space="preserve"> PAGE </w:instrText>
                          </w:r>
                          <w:r>
                            <w:rPr>
                              <w:spacing w:val="-5"/>
                            </w:rPr>
                            <w:fldChar w:fldCharType="separate"/>
                          </w:r>
                          <w:r w:rsidR="00C1636C">
                            <w:rPr>
                              <w:noProof/>
                              <w:spacing w:val="-5"/>
                              <w:sz w:val="20"/>
                            </w:rPr>
                            <w:t>16</w:t>
                          </w:r>
                          <w:r>
                            <w:rPr>
                              <w:spacing w:val="-5"/>
                            </w:rPr>
                            <w:fldChar w:fldCharType="end"/>
                          </w:r>
                        </w:p>
                      </w:txbxContent>
                    </wps:txbx>
                    <wps:bodyPr wrap="square" lIns="0" tIns="0" rIns="0" bIns="0" rtlCol="0"/>
                  </wps:wsp>
                </a:graphicData>
              </a:graphic>
            </wp:anchor>
          </w:drawing>
        </mc:Choice>
        <mc:Fallback>
          <w:pict>
            <v:shape w14:anchorId="1DDFF0EE" id="Textbox 2" o:spid="_x0000_s1027" type="#_x0000_t202" style="position:absolute;margin-left:290.55pt;margin-top:780.6pt;width:14.25pt;height:14.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" filled="f" stroked="f">
              <v:textbox inset="0,0,0,0">
                <w:txbxContent>
                  <w:p w14:paraId="0A3BD3FC" w14:textId="7F184D69" w:rsidR="00A71469" w:rsidRDefault="00A71469">
                    <w:pPr>
                      <w:pStyle w:val="Textkrper"/>
                      <w:spacing w:before="12"/>
                      <w:ind w:left="20"/>
                    </w:pPr>
                    <w:r>
                      <w:rPr>
                        <w:spacing w:val="-5"/>
                      </w:rPr>
                      <w:fldChar w:fldCharType="begin"/>
                    </w:r>
                    <w:r>
                      <w:rPr>
                        <w:spacing w:val="-5"/>
                        <w:sz w:val="20"/>
                      </w:rPr>
                      <w:instrText xml:space="preserve"> PAGE </w:instrText>
                    </w:r>
                    <w:r>
                      <w:rPr>
                        <w:spacing w:val="-5"/>
                      </w:rPr>
                      <w:fldChar w:fldCharType="separate"/>
                    </w:r>
                    <w:r w:rsidR="00C1636C">
                      <w:rPr>
                        <w:noProof/>
                        <w:spacing w:val="-5"/>
                        <w:sz w:val="20"/>
                      </w:rPr>
                      <w:t>16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216A1" w14:textId="77777777" w:rsidR="00942309" w:rsidRDefault="00942309">
      <w:r>
        <w:separator/>
      </w:r>
    </w:p>
  </w:footnote>
  <w:footnote w:type="continuationSeparator" w:id="0">
    <w:p w14:paraId="2D1BA15A" w14:textId="77777777" w:rsidR="00942309" w:rsidRDefault="00942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16028"/>
    <w:multiLevelType w:val="hybridMultilevel"/>
    <w:tmpl w:val="00000000"/>
    <w:lvl w:ilvl="0" w:tplc="AC94163C">
      <w:numFmt w:val="bullet"/>
      <w:lvlText w:val="•"/>
      <w:lvlJc w:val="left"/>
      <w:pPr>
        <w:ind w:left="862" w:hanging="360"/>
      </w:pPr>
      <w:rPr>
        <w:rFonts w:ascii="Calibri" w:eastAsia="Calibri" w:hAnsi="Calibri" w:cs="Calibri" w:hint="default"/>
        <w:spacing w:val="0"/>
        <w:w w:val="92"/>
        <w:lang w:val="en-US" w:eastAsia="en-US" w:bidi="ar-SA"/>
      </w:rPr>
    </w:lvl>
    <w:lvl w:ilvl="1" w:tplc="74CAD1DC">
      <w:numFmt w:val="bullet"/>
      <w:lvlText w:val="•"/>
      <w:lvlJc w:val="left"/>
      <w:pPr>
        <w:ind w:left="1695" w:hanging="360"/>
      </w:pPr>
      <w:rPr>
        <w:rFonts w:hint="default"/>
        <w:lang w:val="en-US" w:eastAsia="en-US" w:bidi="ar-SA"/>
      </w:rPr>
    </w:lvl>
    <w:lvl w:ilvl="2" w:tplc="5EBEF1A2">
      <w:numFmt w:val="bullet"/>
      <w:lvlText w:val="•"/>
      <w:lvlJc w:val="left"/>
      <w:pPr>
        <w:ind w:left="2530" w:hanging="360"/>
      </w:pPr>
      <w:rPr>
        <w:rFonts w:hint="default"/>
        <w:lang w:val="en-US" w:eastAsia="en-US" w:bidi="ar-SA"/>
      </w:rPr>
    </w:lvl>
    <w:lvl w:ilvl="3" w:tplc="63A4F57A">
      <w:numFmt w:val="bullet"/>
      <w:lvlText w:val="•"/>
      <w:lvlJc w:val="left"/>
      <w:pPr>
        <w:ind w:left="3366" w:hanging="360"/>
      </w:pPr>
      <w:rPr>
        <w:rFonts w:hint="default"/>
        <w:lang w:val="en-US" w:eastAsia="en-US" w:bidi="ar-SA"/>
      </w:rPr>
    </w:lvl>
    <w:lvl w:ilvl="4" w:tplc="0F2E95AE">
      <w:numFmt w:val="bullet"/>
      <w:lvlText w:val="•"/>
      <w:lvlJc w:val="left"/>
      <w:pPr>
        <w:ind w:left="4201" w:hanging="360"/>
      </w:pPr>
      <w:rPr>
        <w:rFonts w:hint="default"/>
        <w:lang w:val="en-US" w:eastAsia="en-US" w:bidi="ar-SA"/>
      </w:rPr>
    </w:lvl>
    <w:lvl w:ilvl="5" w:tplc="B8AE82F0">
      <w:numFmt w:val="bullet"/>
      <w:lvlText w:val="•"/>
      <w:lvlJc w:val="left"/>
      <w:pPr>
        <w:ind w:left="5037" w:hanging="360"/>
      </w:pPr>
      <w:rPr>
        <w:rFonts w:hint="default"/>
        <w:lang w:val="en-US" w:eastAsia="en-US" w:bidi="ar-SA"/>
      </w:rPr>
    </w:lvl>
    <w:lvl w:ilvl="6" w:tplc="BA58417C">
      <w:numFmt w:val="bullet"/>
      <w:lvlText w:val="•"/>
      <w:lvlJc w:val="left"/>
      <w:pPr>
        <w:ind w:left="5872" w:hanging="360"/>
      </w:pPr>
      <w:rPr>
        <w:rFonts w:hint="default"/>
        <w:lang w:val="en-US" w:eastAsia="en-US" w:bidi="ar-SA"/>
      </w:rPr>
    </w:lvl>
    <w:lvl w:ilvl="7" w:tplc="A3FED0E2">
      <w:numFmt w:val="bullet"/>
      <w:lvlText w:val="•"/>
      <w:lvlJc w:val="left"/>
      <w:pPr>
        <w:ind w:left="6708" w:hanging="360"/>
      </w:pPr>
      <w:rPr>
        <w:rFonts w:hint="default"/>
        <w:lang w:val="en-US" w:eastAsia="en-US" w:bidi="ar-SA"/>
      </w:rPr>
    </w:lvl>
    <w:lvl w:ilvl="8" w:tplc="02F6D2A0">
      <w:numFmt w:val="bullet"/>
      <w:lvlText w:val="•"/>
      <w:lvlJc w:val="left"/>
      <w:pPr>
        <w:ind w:left="7543" w:hanging="360"/>
      </w:pPr>
      <w:rPr>
        <w:rFonts w:hint="default"/>
        <w:lang w:val="en-US" w:eastAsia="en-US" w:bidi="ar-SA"/>
      </w:rPr>
    </w:lvl>
  </w:abstractNum>
  <w:abstractNum w:abstractNumId="1" w15:restartNumberingAfterBreak="0">
    <w:nsid w:val="7AD76726"/>
    <w:multiLevelType w:val="hybridMultilevel"/>
    <w:tmpl w:val="00000000"/>
    <w:lvl w:ilvl="0" w:tplc="F34679E0">
      <w:numFmt w:val="bullet"/>
      <w:lvlText w:val="•"/>
      <w:lvlJc w:val="left"/>
      <w:pPr>
        <w:ind w:left="862" w:hanging="360"/>
      </w:pPr>
      <w:rPr>
        <w:rFonts w:ascii="Calibri" w:eastAsia="Calibri" w:hAnsi="Calibri" w:cs="Calibri" w:hint="default"/>
        <w:b w:val="0"/>
        <w:bCs w:val="0"/>
        <w:i w:val="0"/>
        <w:iCs w:val="0"/>
        <w:spacing w:val="0"/>
        <w:w w:val="92"/>
        <w:sz w:val="22"/>
        <w:szCs w:val="22"/>
        <w:lang w:val="en-US" w:eastAsia="en-US" w:bidi="ar-SA"/>
      </w:rPr>
    </w:lvl>
    <w:lvl w:ilvl="1" w:tplc="E62CA514">
      <w:numFmt w:val="bullet"/>
      <w:lvlText w:val="•"/>
      <w:lvlJc w:val="left"/>
      <w:pPr>
        <w:ind w:left="1695" w:hanging="360"/>
      </w:pPr>
      <w:rPr>
        <w:rFonts w:hint="default"/>
        <w:lang w:val="en-US" w:eastAsia="en-US" w:bidi="ar-SA"/>
      </w:rPr>
    </w:lvl>
    <w:lvl w:ilvl="2" w:tplc="6654404A">
      <w:numFmt w:val="bullet"/>
      <w:lvlText w:val="•"/>
      <w:lvlJc w:val="left"/>
      <w:pPr>
        <w:ind w:left="2530" w:hanging="360"/>
      </w:pPr>
      <w:rPr>
        <w:rFonts w:hint="default"/>
        <w:lang w:val="en-US" w:eastAsia="en-US" w:bidi="ar-SA"/>
      </w:rPr>
    </w:lvl>
    <w:lvl w:ilvl="3" w:tplc="BB2AC46E">
      <w:numFmt w:val="bullet"/>
      <w:lvlText w:val="•"/>
      <w:lvlJc w:val="left"/>
      <w:pPr>
        <w:ind w:left="3366" w:hanging="360"/>
      </w:pPr>
      <w:rPr>
        <w:rFonts w:hint="default"/>
        <w:lang w:val="en-US" w:eastAsia="en-US" w:bidi="ar-SA"/>
      </w:rPr>
    </w:lvl>
    <w:lvl w:ilvl="4" w:tplc="3B78D118">
      <w:numFmt w:val="bullet"/>
      <w:lvlText w:val="•"/>
      <w:lvlJc w:val="left"/>
      <w:pPr>
        <w:ind w:left="4201" w:hanging="360"/>
      </w:pPr>
      <w:rPr>
        <w:rFonts w:hint="default"/>
        <w:lang w:val="en-US" w:eastAsia="en-US" w:bidi="ar-SA"/>
      </w:rPr>
    </w:lvl>
    <w:lvl w:ilvl="5" w:tplc="2A8A5C68">
      <w:numFmt w:val="bullet"/>
      <w:lvlText w:val="•"/>
      <w:lvlJc w:val="left"/>
      <w:pPr>
        <w:ind w:left="5037" w:hanging="360"/>
      </w:pPr>
      <w:rPr>
        <w:rFonts w:hint="default"/>
        <w:lang w:val="en-US" w:eastAsia="en-US" w:bidi="ar-SA"/>
      </w:rPr>
    </w:lvl>
    <w:lvl w:ilvl="6" w:tplc="7836319A">
      <w:numFmt w:val="bullet"/>
      <w:lvlText w:val="•"/>
      <w:lvlJc w:val="left"/>
      <w:pPr>
        <w:ind w:left="5872" w:hanging="360"/>
      </w:pPr>
      <w:rPr>
        <w:rFonts w:hint="default"/>
        <w:lang w:val="en-US" w:eastAsia="en-US" w:bidi="ar-SA"/>
      </w:rPr>
    </w:lvl>
    <w:lvl w:ilvl="7" w:tplc="686438FC">
      <w:numFmt w:val="bullet"/>
      <w:lvlText w:val="•"/>
      <w:lvlJc w:val="left"/>
      <w:pPr>
        <w:ind w:left="6708" w:hanging="360"/>
      </w:pPr>
      <w:rPr>
        <w:rFonts w:hint="default"/>
        <w:lang w:val="en-US" w:eastAsia="en-US" w:bidi="ar-SA"/>
      </w:rPr>
    </w:lvl>
    <w:lvl w:ilvl="8" w:tplc="961A0536">
      <w:numFmt w:val="bullet"/>
      <w:lvlText w:val="•"/>
      <w:lvlJc w:val="left"/>
      <w:pPr>
        <w:ind w:left="7543" w:hanging="360"/>
      </w:pPr>
      <w:rPr>
        <w:rFonts w:hint="default"/>
        <w:lang w:val="en-US" w:eastAsia="en-US" w:bidi="ar-SA"/>
      </w:rPr>
    </w:lvl>
  </w:abstractNum>
  <w:num w:numId="1" w16cid:durableId="1303540723">
    <w:abstractNumId w:val="1"/>
  </w:num>
  <w:num w:numId="2" w16cid:durableId="301885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85F"/>
    <w:rsid w:val="00011F85"/>
    <w:rsid w:val="00022147"/>
    <w:rsid w:val="0003736E"/>
    <w:rsid w:val="00080D92"/>
    <w:rsid w:val="000956E3"/>
    <w:rsid w:val="00130C5E"/>
    <w:rsid w:val="00160B8B"/>
    <w:rsid w:val="00191031"/>
    <w:rsid w:val="001B70FD"/>
    <w:rsid w:val="001D1A1E"/>
    <w:rsid w:val="00220D6B"/>
    <w:rsid w:val="002334A4"/>
    <w:rsid w:val="00282F82"/>
    <w:rsid w:val="00372D58"/>
    <w:rsid w:val="00393CD9"/>
    <w:rsid w:val="003B466A"/>
    <w:rsid w:val="00413898"/>
    <w:rsid w:val="004E0B31"/>
    <w:rsid w:val="004F7365"/>
    <w:rsid w:val="00501ED2"/>
    <w:rsid w:val="0051049A"/>
    <w:rsid w:val="00546A46"/>
    <w:rsid w:val="00560925"/>
    <w:rsid w:val="005967D5"/>
    <w:rsid w:val="00597EDE"/>
    <w:rsid w:val="00633999"/>
    <w:rsid w:val="00644F44"/>
    <w:rsid w:val="006634FB"/>
    <w:rsid w:val="00697879"/>
    <w:rsid w:val="006D36B5"/>
    <w:rsid w:val="007419D2"/>
    <w:rsid w:val="00754985"/>
    <w:rsid w:val="00771240"/>
    <w:rsid w:val="008549AC"/>
    <w:rsid w:val="00862EC2"/>
    <w:rsid w:val="008B089D"/>
    <w:rsid w:val="00942309"/>
    <w:rsid w:val="00981762"/>
    <w:rsid w:val="0099685F"/>
    <w:rsid w:val="009B707B"/>
    <w:rsid w:val="009F46E8"/>
    <w:rsid w:val="00A14EA9"/>
    <w:rsid w:val="00A27DBA"/>
    <w:rsid w:val="00A44695"/>
    <w:rsid w:val="00A63DD4"/>
    <w:rsid w:val="00A71469"/>
    <w:rsid w:val="00AC3EE3"/>
    <w:rsid w:val="00AE155E"/>
    <w:rsid w:val="00B200B6"/>
    <w:rsid w:val="00BA7181"/>
    <w:rsid w:val="00BE0794"/>
    <w:rsid w:val="00BE54AA"/>
    <w:rsid w:val="00C02A78"/>
    <w:rsid w:val="00C06497"/>
    <w:rsid w:val="00C1228E"/>
    <w:rsid w:val="00C13B8E"/>
    <w:rsid w:val="00C160C4"/>
    <w:rsid w:val="00C1636C"/>
    <w:rsid w:val="00C37887"/>
    <w:rsid w:val="00C84392"/>
    <w:rsid w:val="00CF7516"/>
    <w:rsid w:val="00D83122"/>
    <w:rsid w:val="00E1380D"/>
    <w:rsid w:val="00EA3969"/>
    <w:rsid w:val="00EB133D"/>
    <w:rsid w:val="00EB3948"/>
    <w:rsid w:val="00FA48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C0DE"/>
  <w15:docId w15:val="{BEDF13AD-BAE5-4B2C-9629-DB2E7F1D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9"/>
      <w:ind w:left="142"/>
      <w:outlineLvl w:val="0"/>
    </w:pPr>
    <w:rPr>
      <w:b/>
      <w:bCs/>
      <w:sz w:val="28"/>
      <w:szCs w:val="28"/>
    </w:rPr>
  </w:style>
  <w:style w:type="paragraph" w:styleId="Heading2">
    <w:name w:val="heading 2"/>
    <w:basedOn w:val="Normal"/>
    <w:uiPriority w:val="1"/>
    <w:qFormat/>
    <w:pPr>
      <w:ind w:left="142"/>
      <w:outlineLvl w:val="1"/>
    </w:pPr>
    <w:rPr>
      <w:b/>
      <w:bCs/>
      <w:sz w:val="26"/>
      <w:szCs w:val="26"/>
    </w:rPr>
  </w:style>
  <w:style w:type="paragraph" w:styleId="Heading3">
    <w:name w:val="heading 3"/>
    <w:basedOn w:val="Normal"/>
    <w:uiPriority w:val="1"/>
    <w:qFormat/>
    <w:pPr>
      <w:spacing w:before="120"/>
      <w:ind w:left="14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07"/>
      <w:ind w:left="142"/>
    </w:pPr>
  </w:style>
  <w:style w:type="paragraph" w:styleId="TOC2">
    <w:name w:val="toc 2"/>
    <w:basedOn w:val="Normal"/>
    <w:uiPriority w:val="1"/>
    <w:qFormat/>
    <w:pPr>
      <w:spacing w:before="108"/>
      <w:ind w:left="425"/>
    </w:pPr>
  </w:style>
  <w:style w:type="paragraph" w:styleId="BodyText">
    <w:name w:val="Body Text"/>
    <w:basedOn w:val="Normal"/>
    <w:uiPriority w:val="1"/>
    <w:qFormat/>
    <w:pPr>
      <w:spacing w:before="120"/>
      <w:ind w:left="142"/>
    </w:pPr>
  </w:style>
  <w:style w:type="paragraph" w:styleId="Title">
    <w:name w:val="Title"/>
    <w:basedOn w:val="Normal"/>
    <w:uiPriority w:val="1"/>
    <w:qFormat/>
    <w:pPr>
      <w:ind w:left="1905" w:right="1316" w:firstLine="1181"/>
    </w:pPr>
    <w:rPr>
      <w:b/>
      <w:bCs/>
      <w:sz w:val="32"/>
      <w:szCs w:val="32"/>
    </w:rPr>
  </w:style>
  <w:style w:type="paragraph" w:styleId="ListParagraph">
    <w:name w:val="List Paragraph"/>
    <w:basedOn w:val="Normal"/>
    <w:uiPriority w:val="1"/>
    <w:qFormat/>
    <w:pPr>
      <w:spacing w:before="169"/>
      <w:ind w:left="86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1A1E"/>
    <w:pPr>
      <w:tabs>
        <w:tab w:val="center" w:pos="4536"/>
        <w:tab w:val="right" w:pos="9072"/>
      </w:tabs>
    </w:pPr>
  </w:style>
  <w:style w:type="character" w:customStyle="1" w:styleId="HeaderChar">
    <w:name w:val="Header Char"/>
    <w:basedOn w:val="DefaultParagraphFont"/>
    <w:link w:val="Header"/>
    <w:uiPriority w:val="99"/>
    <w:rsid w:val="001D1A1E"/>
    <w:rPr>
      <w:rFonts w:ascii="Arial" w:eastAsia="Arial" w:hAnsi="Arial" w:cs="Arial"/>
    </w:rPr>
  </w:style>
  <w:style w:type="paragraph" w:styleId="Footer">
    <w:name w:val="footer"/>
    <w:basedOn w:val="Normal"/>
    <w:link w:val="FooterChar"/>
    <w:uiPriority w:val="99"/>
    <w:unhideWhenUsed/>
    <w:rsid w:val="001D1A1E"/>
    <w:pPr>
      <w:tabs>
        <w:tab w:val="center" w:pos="4536"/>
        <w:tab w:val="right" w:pos="9072"/>
      </w:tabs>
    </w:pPr>
  </w:style>
  <w:style w:type="character" w:customStyle="1" w:styleId="FooterChar">
    <w:name w:val="Footer Char"/>
    <w:basedOn w:val="DefaultParagraphFont"/>
    <w:link w:val="Footer"/>
    <w:uiPriority w:val="99"/>
    <w:rsid w:val="001D1A1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tatewatch.org/media/4735/eu-mocadem-updated-action-file-eastern-med-wk-11274-24.pdf" TargetMode="External"/><Relationship Id="rId21" Type="http://schemas.openxmlformats.org/officeDocument/2006/relationships/hyperlink" Target="https://rli.sas.ac.uk/about-us/working-groups" TargetMode="External"/><Relationship Id="rId42" Type="http://schemas.openxmlformats.org/officeDocument/2006/relationships/hyperlink" Target="https://www.statewatch.org/outsourcing-borders-monitoring-eu-externalisation-policy/document-archive/working-party-on-integration-migration-and-expulsion/" TargetMode="External"/><Relationship Id="rId47" Type="http://schemas.openxmlformats.org/officeDocument/2006/relationships/hyperlink" Target="https://www.statewatch.org/outsourcing-borders-monitoring-eu-externalisation-policy/document-archive/working-party-on-integration-migration-and-expulsion/" TargetMode="External"/><Relationship Id="rId63" Type="http://schemas.openxmlformats.org/officeDocument/2006/relationships/hyperlink" Target="https://www.statewatch.org/media/4738/eu-mocadem-implementation-report-pakistan-wk-09925-24.pdf" TargetMode="External"/><Relationship Id="rId68" Type="http://schemas.openxmlformats.org/officeDocument/2006/relationships/hyperlink" Target="https://www.budapestprocess.org/7th-budapest-process-ministerial-conference-adoption-of-the-new-ministerial-declaration-and-call-for-action-charts-the-course-for-five-years-of-cooperation/" TargetMode="External"/><Relationship Id="rId84" Type="http://schemas.openxmlformats.org/officeDocument/2006/relationships/hyperlink" Target="https://www.tni.org/en/article/the-rise-of-border-imperialism" TargetMode="External"/><Relationship Id="rId89" Type="http://schemas.openxmlformats.org/officeDocument/2006/relationships/hyperlink" Target="https://www.consilium.europa.eu/en/press/press-releases/2023/09/08/council-will-sign-agreement-with-albania-on-frontex-cooperation/" TargetMode="External"/><Relationship Id="rId16" Type="http://schemas.openxmlformats.org/officeDocument/2006/relationships/hyperlink" Target="https://www.statewatch.org/outsourcing-borders-monitoring-eu-externalisation-policy/document-archive/external-aspects-of-migration-working-party/" TargetMode="External"/><Relationship Id="rId107" Type="http://schemas.openxmlformats.org/officeDocument/2006/relationships/fontTable" Target="fontTable.xml"/><Relationship Id="rId11" Type="http://schemas.openxmlformats.org/officeDocument/2006/relationships/hyperlink" Target="https://www.statewatch.org/outsourcing-borders-monitoring-eu-externalisation-policy/bulletin-2/visa-sanctions-to-increase-deportations/" TargetMode="External"/><Relationship Id="rId32" Type="http://schemas.openxmlformats.org/officeDocument/2006/relationships/hyperlink" Target="https://www.statewatch.org/outsourcing-borders-monitoring-eu-externalisation-policy/document-archive/working-party-on-frontiers/" TargetMode="External"/><Relationship Id="rId37" Type="http://schemas.openxmlformats.org/officeDocument/2006/relationships/hyperlink" Target="https://www.statewatch.org/media/4729/eu-council-scifa-return-hubs-15071-24.pdf" TargetMode="External"/><Relationship Id="rId53" Type="http://schemas.openxmlformats.org/officeDocument/2006/relationships/hyperlink" Target="https://www.statewatch.org/outsourcing-borders-monitoring-eu-externalisation-policy/document-archive/operational-coordination-mechanism-on-the-external-dimension-of-migration-mocadem/" TargetMode="External"/><Relationship Id="rId58" Type="http://schemas.openxmlformats.org/officeDocument/2006/relationships/hyperlink" Target="https://www.statewatch.org/media/4740/eu-mocadem-tunisia-implementation-report-wk-10548-24.pdf" TargetMode="External"/><Relationship Id="rId74" Type="http://schemas.openxmlformats.org/officeDocument/2006/relationships/hyperlink" Target="https://www.ohchr.org/en/instruments-mechanisms/instruments/international-covenant-civil-and-political-rights" TargetMode="External"/><Relationship Id="rId79" Type="http://schemas.openxmlformats.org/officeDocument/2006/relationships/hyperlink" Target="https://blogs.law.ox.ac.uk/border-criminologies-blog/blog-post/2024/10/whats-beneath-iceberg-ma-and-zr-v-cyprus-erasure" TargetMode="External"/><Relationship Id="rId102" Type="http://schemas.openxmlformats.org/officeDocument/2006/relationships/hyperlink" Target="https://op.europa.eu/en/publication-detail/-/publication/4915a6be-f5b9-11e7-b8f5-01aa75ed71a1/language-en" TargetMode="External"/><Relationship Id="rId5" Type="http://schemas.openxmlformats.org/officeDocument/2006/relationships/footnotes" Target="footnotes.xml"/><Relationship Id="rId90" Type="http://schemas.openxmlformats.org/officeDocument/2006/relationships/hyperlink" Target="https://borderviolence.eu/app/uploads/ALBANIA-bordertech.pdf" TargetMode="External"/><Relationship Id="rId95" Type="http://schemas.openxmlformats.org/officeDocument/2006/relationships/hyperlink" Target="https://www.tni.org/en/article/how-the-eu-has-used-the-war-in-ukraine-to-expand-its-border-regime" TargetMode="External"/><Relationship Id="rId22" Type="http://schemas.openxmlformats.org/officeDocument/2006/relationships/hyperlink" Target="https://www.statewatch.org/outsourcing-borders-monitoring-eu-externalisation-policy/document-archive-council-working-parties/working-party-on-integration-migration-and-expulsion/" TargetMode="External"/><Relationship Id="rId27" Type="http://schemas.openxmlformats.org/officeDocument/2006/relationships/hyperlink" Target="https://www.statewatch.org/media/4736/eu-mocadem-gambia-implementation-report-wk-10551-24.pdf" TargetMode="External"/><Relationship Id="rId43" Type="http://schemas.openxmlformats.org/officeDocument/2006/relationships/hyperlink" Target="https://www.statewatch.org/media/4745/eu-council-imex-new-deportation-law-5244-25.pdf" TargetMode="External"/><Relationship Id="rId48" Type="http://schemas.openxmlformats.org/officeDocument/2006/relationships/hyperlink" Target="https://www.statewatch.org/outsourcing-borders-monitoring-eu-externalisation-policy/document-archive/operational-coordination-mechanism-on-the-external-dimension-of-migration-mocadem/" TargetMode="External"/><Relationship Id="rId64" Type="http://schemas.openxmlformats.org/officeDocument/2006/relationships/hyperlink" Target="https://www.statewatch.org/media/4736/eu-mocadem-gambia-implementation-report-wk-10551-24.pdf" TargetMode="External"/><Relationship Id="rId69" Type="http://schemas.openxmlformats.org/officeDocument/2006/relationships/hyperlink" Target="https://www.statewatch.org/media/4713/eu-council-emwp-regional-processes-14872-24.pdf" TargetMode="External"/><Relationship Id="rId80" Type="http://schemas.openxmlformats.org/officeDocument/2006/relationships/hyperlink" Target="https://www.cambridge.org/core/journals/law-and-social-inquiry/article/politics-of-legal-facts-the-erasure-of-pushback-evidence-from-the-european-court-of-human-rights/76A96DC28679DD08A528F8113523391F" TargetMode="External"/><Relationship Id="rId85" Type="http://schemas.openxmlformats.org/officeDocument/2006/relationships/hyperlink" Target="https://www.tandfonline.com/doi/full/10.1080/14650045.2024.2311175" TargetMode="External"/><Relationship Id="rId12" Type="http://schemas.openxmlformats.org/officeDocument/2006/relationships/hyperlink" Target="https://www.politico.eu/article/pushback-brussels-plan-link-trade-migrant-returns/" TargetMode="External"/><Relationship Id="rId17" Type="http://schemas.openxmlformats.org/officeDocument/2006/relationships/hyperlink" Target="https://www.statewatch.org/outsourcing-borders-monitoring-eu-externalisation-policy/bulletin-5/analysis-violence-at-a-distance-frontex-s-increasing-role-outside-the-eu/" TargetMode="External"/><Relationship Id="rId33" Type="http://schemas.openxmlformats.org/officeDocument/2006/relationships/hyperlink" Target="https://www.statewatch.org/media/4730/eu-council-wpf-instrumentalisation-innovation-5012-25.pdf" TargetMode="External"/><Relationship Id="rId38" Type="http://schemas.openxmlformats.org/officeDocument/2006/relationships/hyperlink" Target="https://www.statewatch.org/media/4742/eu-council-imex-return-hubs-16084-24.pdf" TargetMode="External"/><Relationship Id="rId59" Type="http://schemas.openxmlformats.org/officeDocument/2006/relationships/hyperlink" Target="https://www.statewatch.org/media/4741/eu-mocadem-updated-action-file-western-balkans-wk-06768-24.pdf" TargetMode="External"/><Relationship Id="rId103" Type="http://schemas.openxmlformats.org/officeDocument/2006/relationships/hyperlink" Target="https://op.europa.eu/en/publication-detail/-/publication/4915a6be-f5b9-11e7-b8f5-01aa75ed71a1/language-en" TargetMode="External"/><Relationship Id="rId108" Type="http://schemas.openxmlformats.org/officeDocument/2006/relationships/theme" Target="theme/theme1.xml"/><Relationship Id="rId20" Type="http://schemas.openxmlformats.org/officeDocument/2006/relationships/hyperlink" Target="https://rli.sas.ac.uk/about-us/working-groups" TargetMode="External"/><Relationship Id="rId41" Type="http://schemas.openxmlformats.org/officeDocument/2006/relationships/hyperlink" Target="https://www.statewatch.org/outsourcing-borders-monitoring-eu-externalisation-policy/document-archive/external-aspects-of-migration-working-party/" TargetMode="External"/><Relationship Id="rId54" Type="http://schemas.openxmlformats.org/officeDocument/2006/relationships/hyperlink" Target="https://www.statewatch.org/media/4738/eu-mocadem-implementation-report-pakistan-wk-09925-24.pdf" TargetMode="External"/><Relationship Id="rId62" Type="http://schemas.openxmlformats.org/officeDocument/2006/relationships/hyperlink" Target="https://www.statewatch.org/media/4735/eu-mocadem-updated-action-file-eastern-med-wk-11274-24.pdf" TargetMode="External"/><Relationship Id="rId70" Type="http://schemas.openxmlformats.org/officeDocument/2006/relationships/hyperlink" Target="https://www.statewatch.org/media/4713/eu-council-emwp-regional-processes-14872-24.pdf" TargetMode="External"/><Relationship Id="rId75" Type="http://schemas.openxmlformats.org/officeDocument/2006/relationships/hyperlink" Target="https://ecre.org/op-ed-does-the-rome-courts-refusal-to-validate-the-detention-order-of-the-first-asylum-seekers-brought-to-albania-mark-the-end-of-the-italy-albania-deal/" TargetMode="External"/><Relationship Id="rId83" Type="http://schemas.openxmlformats.org/officeDocument/2006/relationships/hyperlink" Target="https://www.artsenzondergrenzen.nl/documents/220/Webs_of_violence_death_despair_and_destitution_at_EU_borders_-_MSF_rapport.pdf" TargetMode="External"/><Relationship Id="rId88" Type="http://schemas.openxmlformats.org/officeDocument/2006/relationships/hyperlink" Target="https://eur-lex.europa.eu/legal-content/EN/TXT/?uri=celex%3A32023D2105" TargetMode="External"/><Relationship Id="rId91" Type="http://schemas.openxmlformats.org/officeDocument/2006/relationships/hyperlink" Target="https://prd.frontex.europa.eu/document/memorandum-of-understanding-on-the-complaints-mechanisms-related-to-actions-carried-out-by-the-european-border-and-coast-guard-agency-in-the-republic-of-albania-based-on-the-status-agreemen/" TargetMode="External"/><Relationship Id="rId96" Type="http://schemas.openxmlformats.org/officeDocument/2006/relationships/hyperlink" Target="https://www.statewatch.org/news/2017/february/press-release-eu-border-agency-targeted-isolated-or-mistreated-individuals-for-questioni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tatewatch.org/news/2025/january/eu-outsourcing-borders-and-migration-control-no-parliamentary-scrutiny-in-sight/" TargetMode="External"/><Relationship Id="rId23" Type="http://schemas.openxmlformats.org/officeDocument/2006/relationships/hyperlink" Target="https://www.statewatch.org/media/4705/eu-council-frontex-risk-analysis-wk-9683-24.pdf" TargetMode="External"/><Relationship Id="rId28" Type="http://schemas.openxmlformats.org/officeDocument/2006/relationships/hyperlink" Target="https://www.statewatch.org/outsourcing-borders-monitoring-eu-externalisation-policy/document-archive/external-aspects-of-migration-working-party/" TargetMode="External"/><Relationship Id="rId36" Type="http://schemas.openxmlformats.org/officeDocument/2006/relationships/hyperlink" Target="https://www.statewatch.org/outsourcing-borders-monitoring-eu-externalisation-policy/document-archive/operational-coordination-mechanism-on-the-external-dimension-of-migration-mocadem/" TargetMode="External"/><Relationship Id="rId49" Type="http://schemas.openxmlformats.org/officeDocument/2006/relationships/hyperlink" Target="https://www.statewatch.org/news/2025/january/eu-outsourcing-borders-and-migration-control-no-parliamentary-scrutiny-in-sight/" TargetMode="External"/><Relationship Id="rId57" Type="http://schemas.openxmlformats.org/officeDocument/2006/relationships/hyperlink" Target="https://www.statewatch.org/media/4715/eu-council-emwp-external-coop-update-5235-25.pdf" TargetMode="External"/><Relationship Id="rId106" Type="http://schemas.openxmlformats.org/officeDocument/2006/relationships/hyperlink" Target="https://scienceportal.msf.org/assets/8636" TargetMode="External"/><Relationship Id="rId10" Type="http://schemas.openxmlformats.org/officeDocument/2006/relationships/hyperlink" Target="https://euobserver.com/Migration/ar52e4450e" TargetMode="External"/><Relationship Id="rId31" Type="http://schemas.openxmlformats.org/officeDocument/2006/relationships/hyperlink" Target="https://www.statewatch.org/media/4714/eu-council-emwp-eastern-land-route-5234-25.pdf" TargetMode="External"/><Relationship Id="rId44" Type="http://schemas.openxmlformats.org/officeDocument/2006/relationships/hyperlink" Target="https://www.statewatch.org/media/4745/eu-council-imex-new-deportation-law-5244-25.pdf" TargetMode="External"/><Relationship Id="rId52" Type="http://schemas.openxmlformats.org/officeDocument/2006/relationships/hyperlink" Target="https://www.statewatch.org/media/4735/eu-mocadem-updated-action-file-eastern-med-wk-11274-24.pdf" TargetMode="External"/><Relationship Id="rId60" Type="http://schemas.openxmlformats.org/officeDocument/2006/relationships/hyperlink" Target="https://www.statewatch.org/outsourcing-borders-monitoring-eu-externalisation-policy/document-archive/operational-coordination-mechanism-on-the-external-dimension-of-migration-mocadem/" TargetMode="External"/><Relationship Id="rId65" Type="http://schemas.openxmlformats.org/officeDocument/2006/relationships/hyperlink" Target="https://www.statewatch.org/media/4716/eu-council-emwp-la-manche-5380-25.pdf" TargetMode="External"/><Relationship Id="rId73" Type="http://schemas.openxmlformats.org/officeDocument/2006/relationships/hyperlink" Target="https://www.ohchr.org/en/treaty-bodies/ccpr" TargetMode="External"/><Relationship Id="rId78" Type="http://schemas.openxmlformats.org/officeDocument/2006/relationships/hyperlink" Target="https://www.ecchr.eu/fileadmin/user_upload/Submission_to_the_Committee_on_Enforced_Disappearances_on_pushbacks__August_2023_.pdf" TargetMode="External"/><Relationship Id="rId81" Type="http://schemas.openxmlformats.org/officeDocument/2006/relationships/hyperlink" Target="https://externalizingasylum.info/the-next-in-line-reflections-on-the-eu-lebanon-migration-deal/" TargetMode="External"/><Relationship Id="rId86" Type="http://schemas.openxmlformats.org/officeDocument/2006/relationships/hyperlink" Target="https://www.europeanpapers.eu/en/system/files/pdf_version/EP_eJ_2023_2_SS2_5_Juan_Santos_Vara_00697.pdf" TargetMode="External"/><Relationship Id="rId94" Type="http://schemas.openxmlformats.org/officeDocument/2006/relationships/hyperlink" Target="https://verfassungsblog.de/frontex-and-the-rule-of-law-crisis-at-eu-external-borders/" TargetMode="External"/><Relationship Id="rId99" Type="http://schemas.openxmlformats.org/officeDocument/2006/relationships/hyperlink" Target="https://www.statewatch.org/news/2020/july/eu-support-for-migration-management-in-the-western-balkans-squarely-focused-on-control-measures/" TargetMode="External"/><Relationship Id="rId101" Type="http://schemas.openxmlformats.org/officeDocument/2006/relationships/hyperlink" Target="https://www.statewatch.org/news/2022/september/africa-frontex-intelligence-community-participating-agencies-named/"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apnews.com/article/colombia-immigration-deportation-flights-petro-trump-us-67870e41556c5d8791d22ec6767049fd" TargetMode="External"/><Relationship Id="rId18" Type="http://schemas.openxmlformats.org/officeDocument/2006/relationships/hyperlink" Target="https://rli.sas.ac.uk/about-us/working-groups" TargetMode="External"/><Relationship Id="rId39" Type="http://schemas.openxmlformats.org/officeDocument/2006/relationships/hyperlink" Target="https://www.statewatch.org/media/4742/eu-council-imex-return-hubs-16084-24.pdf" TargetMode="External"/><Relationship Id="rId34" Type="http://schemas.openxmlformats.org/officeDocument/2006/relationships/hyperlink" Target="https://www.statewatch.org/media/4747/eu-council-note-commercial-transport-irregular-migration-14204-24.pdf" TargetMode="External"/><Relationship Id="rId50" Type="http://schemas.openxmlformats.org/officeDocument/2006/relationships/hyperlink" Target="https://www.statewatch.org/media/4717/eu-council-vwp-visa-policy-draft-conclusions-14241-24.pdf" TargetMode="External"/><Relationship Id="rId55" Type="http://schemas.openxmlformats.org/officeDocument/2006/relationships/hyperlink" Target="https://www.statewatch.org/media/4736/eu-mocadem-gambia-implementation-report-wk-10551-24.pdf" TargetMode="External"/><Relationship Id="rId76" Type="http://schemas.openxmlformats.org/officeDocument/2006/relationships/hyperlink" Target="https://hudoc.echr.coe.int/fre" TargetMode="External"/><Relationship Id="rId97" Type="http://schemas.openxmlformats.org/officeDocument/2006/relationships/hyperlink" Target="https://www.edps.europa.eu/press-publications/press-news/press-releases/2025/edps-reprimands-frontex-non-compliance-regulation-eu-20191896_en" TargetMode="External"/><Relationship Id="rId104" Type="http://schemas.openxmlformats.org/officeDocument/2006/relationships/hyperlink" Target="https://inthesetimes.com/article/europe-militarize-africa-senegal-borders-anti-migration-surveillance" TargetMode="External"/><Relationship Id="rId7" Type="http://schemas.openxmlformats.org/officeDocument/2006/relationships/image" Target="media/image1.png"/><Relationship Id="rId71" Type="http://schemas.openxmlformats.org/officeDocument/2006/relationships/hyperlink" Target="https://www.statewatch.org/outsourcing-borders-monitoring-eu-externalisation-policy/document-archive/external-aspects-of-migration-working-party/" TargetMode="External"/><Relationship Id="rId92" Type="http://schemas.openxmlformats.org/officeDocument/2006/relationships/hyperlink" Target="https://www.ombudsman.europa.eu/en/decision/en/143108" TargetMode="External"/><Relationship Id="rId2" Type="http://schemas.openxmlformats.org/officeDocument/2006/relationships/styles" Target="styles.xml"/><Relationship Id="rId29" Type="http://schemas.openxmlformats.org/officeDocument/2006/relationships/hyperlink" Target="https://www.statewatch.org/outsourcing-borders-monitoring-eu-externalisation-policy/document-archive/working-party-on-integration-migration-and-expulsion/" TargetMode="External"/><Relationship Id="rId24" Type="http://schemas.openxmlformats.org/officeDocument/2006/relationships/hyperlink" Target="https://www.statewatch.org/media/4710/eu-council-csdp-missions-migration-14103-24.pdf" TargetMode="External"/><Relationship Id="rId40" Type="http://schemas.openxmlformats.org/officeDocument/2006/relationships/hyperlink" Target="https://www.statewatch.org/media/4712/eu-council-emwp-western-balkans-coop-14871-24.pdf" TargetMode="External"/><Relationship Id="rId45" Type="http://schemas.openxmlformats.org/officeDocument/2006/relationships/hyperlink" Target="https://www.statewatch.org/media/4744/eu-imex-scheval-returns-5243-25.pdf" TargetMode="External"/><Relationship Id="rId66" Type="http://schemas.openxmlformats.org/officeDocument/2006/relationships/hyperlink" Target="https://www.statewatch.org/media/4708/eu-council-silk-routes-region-14100-24.pdf" TargetMode="External"/><Relationship Id="rId87" Type="http://schemas.openxmlformats.org/officeDocument/2006/relationships/hyperlink" Target="https://neighbourhood-enlargement.ec.europa.eu/european-neighbourhood-policy/southern-neighbourhood_en" TargetMode="External"/><Relationship Id="rId61" Type="http://schemas.openxmlformats.org/officeDocument/2006/relationships/hyperlink" Target="https://www.statewatch.org/media/4733/eu-mocadem-updated-action-file-central-med-wk-12277-24.pdf" TargetMode="External"/><Relationship Id="rId82" Type="http://schemas.openxmlformats.org/officeDocument/2006/relationships/hyperlink" Target="https://www.statewatch.org/media/4748/report-on-cooperation-between-frontex-and-third-countries-in-2023.pdf" TargetMode="External"/><Relationship Id="rId19" Type="http://schemas.openxmlformats.org/officeDocument/2006/relationships/hyperlink" Target="https://rli.sas.ac.uk/about-us/working-groups" TargetMode="External"/><Relationship Id="rId14" Type="http://schemas.openxmlformats.org/officeDocument/2006/relationships/hyperlink" Target="https://www.statewatch.org/outsourcing-borders-monitoring-eu-externalisation-policy/document-archive/operational-coordination-mechanism-on-the-external-dimension-of-migration-mocadem/" TargetMode="External"/><Relationship Id="rId30" Type="http://schemas.openxmlformats.org/officeDocument/2006/relationships/hyperlink" Target="https://www.statewatch.org/outsourcing-borders-monitoring-eu-externalisation-policy/document-archive/working-party-on-frontiers/" TargetMode="External"/><Relationship Id="rId35" Type="http://schemas.openxmlformats.org/officeDocument/2006/relationships/hyperlink" Target="https://www.statewatch.org/outsourcing-borders-monitoring-eu-externalisation-policy/document-archive/operational-coordination-mechanism-on-the-external-dimension-of-migration-mocadem/" TargetMode="External"/><Relationship Id="rId56" Type="http://schemas.openxmlformats.org/officeDocument/2006/relationships/hyperlink" Target="https://www.statewatch.org/media/4715/eu-council-emwp-external-coop-update-5235-25.pdf" TargetMode="External"/><Relationship Id="rId77" Type="http://schemas.openxmlformats.org/officeDocument/2006/relationships/hyperlink" Target="https://hudoc.echr.coe.int/fre" TargetMode="External"/><Relationship Id="rId100" Type="http://schemas.openxmlformats.org/officeDocument/2006/relationships/hyperlink" Target="https://scienceportal.msf.org/assets/8636" TargetMode="External"/><Relationship Id="rId105" Type="http://schemas.openxmlformats.org/officeDocument/2006/relationships/hyperlink" Target="https://www.lighthousereports.com/investigation/frontex-and-the-pirate-ship/" TargetMode="External"/><Relationship Id="rId8" Type="http://schemas.openxmlformats.org/officeDocument/2006/relationships/image" Target="media/image2.png"/><Relationship Id="rId51" Type="http://schemas.openxmlformats.org/officeDocument/2006/relationships/hyperlink" Target="https://www.statewatch.org/media/4735/eu-mocadem-updated-action-file-eastern-med-wk-11274-24.pdf" TargetMode="External"/><Relationship Id="rId72" Type="http://schemas.openxmlformats.org/officeDocument/2006/relationships/hyperlink" Target="https://www.statewatch.org/outsourcing-borders-monitoring-eu-externalisation-policy/document-archive/visa-working-party/" TargetMode="External"/><Relationship Id="rId93" Type="http://schemas.openxmlformats.org/officeDocument/2006/relationships/hyperlink" Target="https://www.statewatch.org/analyses/2022/frontex-more-power-no-responsibility-mega-agency-lacks-real-accountability-structure/" TargetMode="External"/><Relationship Id="rId98" Type="http://schemas.openxmlformats.org/officeDocument/2006/relationships/hyperlink" Target="https://www.statewatch.org/news/2020/july/eu-support-for-migration-management-in-the-western-balkans-squarely-focused-on-control-measures/" TargetMode="External"/><Relationship Id="rId3" Type="http://schemas.openxmlformats.org/officeDocument/2006/relationships/settings" Target="settings.xml"/><Relationship Id="rId25" Type="http://schemas.openxmlformats.org/officeDocument/2006/relationships/hyperlink" Target="https://www.statewatch.org/media/4735/eu-mocadem-updated-action-file-eastern-med-wk-11274-24.pdf" TargetMode="External"/><Relationship Id="rId46" Type="http://schemas.openxmlformats.org/officeDocument/2006/relationships/hyperlink" Target="https://www.statewatch.org/media/4744/eu-imex-scheval-returns-5243-25.pdf" TargetMode="External"/><Relationship Id="rId67" Type="http://schemas.openxmlformats.org/officeDocument/2006/relationships/hyperlink" Target="https://www.statewatch.org/media/4711/eu-council-emwp-budapest-process-14102-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7542</Words>
  <Characters>42996</Characters>
  <Application>Microsoft Office Word</Application>
  <DocSecurity>0</DocSecurity>
  <Lines>358</Lines>
  <Paragraphs>100</Paragraphs>
  <ScaleCrop>false</ScaleCrop>
  <HeadingPairs>
    <vt:vector size="2" baseType="variant">
      <vt:variant>
        <vt:lpstr>Titre</vt:lpstr>
      </vt:variant>
      <vt:variant>
        <vt:i4>1</vt:i4>
      </vt:variant>
    </vt:vector>
  </HeadingPairs>
  <TitlesOfParts>
    <vt:vector size="1" baseType="lpstr">
      <vt:lpstr/>
    </vt:vector>
  </TitlesOfParts>
  <Company>Misereor e.V.</Company>
  <LinksUpToDate>false</LinksUpToDate>
  <CharactersWithSpaces>50438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GrÃ¼newald, Andreas</dc:creator>
  <cp:keywords>, docId:555DF8E85E8A020C3DE44FA956A766CC</cp:keywords>
  <cp:lastModifiedBy>Leonie Jegen</cp:lastModifiedBy>
  <cp:revision>2</cp:revision>
  <dcterms:created xsi:type="dcterms:W3CDTF">2025-04-23T12:16:00Z</dcterms:created>
  <dcterms:modified xsi:type="dcterms:W3CDTF">2025-04-23T12:16:00Z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Acrobat PDFMaker 20 for Word</vt:lpwstr>
  </property>
  <property fmtid="{D5CDD505-2E9C-101B-9397-08002B2CF9AE}" pid="4" name="LastSaved">
    <vt:filetime>2025-03-10T00:00:00Z</vt:filetime>
  </property>
  <property fmtid="{D5CDD505-2E9C-101B-9397-08002B2CF9AE}" pid="5" name="Producer">
    <vt:lpwstr>Adobe PDF Library 20.5.28</vt:lpwstr>
  </property>
  <property fmtid="{D5CDD505-2E9C-101B-9397-08002B2CF9AE}" pid="6" name="SourceModified">
    <vt:lpwstr>D:20250211130943</vt:lpwstr>
  </property>
  <property fmtid="{D5CDD505-2E9C-101B-9397-08002B2CF9AE}" pid="7" name="ZOTERO_PREF_1">
    <vt:lpwstr>&lt;data data-version="3" zotero-version="6.0.30"&gt;&lt;session id="FzGd63oA"/&gt;&lt;style id="" hasBibliography="0" bibliographyStyleHasBeenSet="0"/&gt;&lt;prefs/&gt;&lt;/data&gt;</vt:lpwstr>
  </property>
</Properties>
</file>